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C6EE" w14:textId="5C332E10" w:rsidR="0052210B" w:rsidRDefault="007F07BD" w:rsidP="008722CA">
      <w:pPr>
        <w:spacing w:after="0" w:line="240" w:lineRule="auto"/>
        <w:jc w:val="right"/>
      </w:pPr>
      <w:bookmarkStart w:id="0" w:name="bkmDate"/>
      <w:r>
        <w:t>2026-10-20</w:t>
      </w:r>
      <w:bookmarkEnd w:id="0"/>
    </w:p>
    <w:p w14:paraId="3343456B" w14:textId="77777777" w:rsidR="00455369" w:rsidRDefault="00455369" w:rsidP="008722CA">
      <w:pPr>
        <w:spacing w:after="0" w:line="240" w:lineRule="auto"/>
        <w:jc w:val="right"/>
      </w:pPr>
    </w:p>
    <w:p w14:paraId="36CAF31D" w14:textId="77777777" w:rsidR="00455369" w:rsidRPr="006876FC" w:rsidRDefault="00455369" w:rsidP="008722CA">
      <w:pPr>
        <w:spacing w:after="0" w:line="240" w:lineRule="auto"/>
        <w:jc w:val="right"/>
        <w:rPr>
          <w:lang w:val="en-GB"/>
        </w:rPr>
      </w:pPr>
    </w:p>
    <w:p w14:paraId="22DD5FD3" w14:textId="77777777" w:rsidR="00455369" w:rsidRPr="00F544C0" w:rsidRDefault="00455369" w:rsidP="008722CA">
      <w:pPr>
        <w:spacing w:after="0" w:line="240" w:lineRule="auto"/>
        <w:jc w:val="right"/>
        <w:rPr>
          <w:lang w:val="en-GB"/>
        </w:rPr>
      </w:pPr>
    </w:p>
    <w:p w14:paraId="21B1F5A6" w14:textId="77777777" w:rsidR="00455369" w:rsidRPr="00D349BE" w:rsidRDefault="00455369" w:rsidP="008722CA">
      <w:pPr>
        <w:spacing w:after="0" w:line="240" w:lineRule="auto"/>
        <w:jc w:val="right"/>
        <w:rPr>
          <w:lang w:val="en-GB"/>
        </w:rPr>
      </w:pPr>
    </w:p>
    <w:p w14:paraId="1A38E38B" w14:textId="3795D713" w:rsidR="007F07BD" w:rsidRPr="00D349BE" w:rsidRDefault="007F07BD" w:rsidP="007F07BD">
      <w:pPr>
        <w:spacing w:before="100" w:beforeAutospacing="1" w:after="100" w:afterAutospacing="1" w:line="300" w:lineRule="atLeast"/>
        <w:outlineLvl w:val="0"/>
        <w:rPr>
          <w:rFonts w:asciiTheme="majorHAnsi" w:hAnsiTheme="majorHAnsi" w:cs="Segoe UI"/>
          <w:b/>
          <w:bCs/>
          <w:color w:val="auto"/>
          <w:kern w:val="36"/>
          <w:sz w:val="28"/>
          <w:szCs w:val="28"/>
          <w:lang w:val="en-GB"/>
        </w:rPr>
      </w:pPr>
      <w:bookmarkStart w:id="1" w:name="bkmRegarding"/>
      <w:bookmarkEnd w:id="1"/>
      <w:r w:rsidRPr="00D349BE">
        <w:rPr>
          <w:rFonts w:asciiTheme="majorHAnsi" w:hAnsiTheme="majorHAnsi" w:cs="Segoe UI"/>
          <w:b/>
          <w:bCs/>
          <w:color w:val="auto"/>
          <w:kern w:val="36"/>
          <w:sz w:val="28"/>
          <w:szCs w:val="28"/>
          <w:lang w:val="en-GB"/>
        </w:rPr>
        <w:t>Insurance Sweden’s response to the European Commission’s targeted consultation on fair access to financial services for cancer survivors</w:t>
      </w:r>
    </w:p>
    <w:p w14:paraId="137E1E4B"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Insurance Sweden is the industry organisation for insurance and occupational pensions undertakings in Sweden. We welcome the opportunity to respond to the European Commission’s consultation.</w:t>
      </w:r>
    </w:p>
    <w:p w14:paraId="685CF212" w14:textId="4894B082"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 xml:space="preserve">As a member of Insurance Europe, we share </w:t>
      </w:r>
      <w:r w:rsidR="00811348" w:rsidRPr="00D349BE">
        <w:rPr>
          <w:rFonts w:cs="Segoe UI"/>
          <w:color w:val="auto"/>
          <w:szCs w:val="20"/>
          <w:lang w:val="en-GB"/>
        </w:rPr>
        <w:t xml:space="preserve">many of </w:t>
      </w:r>
      <w:r w:rsidRPr="00D349BE">
        <w:rPr>
          <w:rFonts w:cs="Segoe UI"/>
          <w:color w:val="auto"/>
          <w:szCs w:val="20"/>
          <w:lang w:val="en-GB"/>
        </w:rPr>
        <w:t>the views expressed in that organisation’s response. However, Insurance Sweden would like to add the following.</w:t>
      </w:r>
    </w:p>
    <w:p w14:paraId="50BF79AD" w14:textId="77777777" w:rsidR="007F07BD" w:rsidRPr="00D349BE" w:rsidRDefault="007F07BD" w:rsidP="007F07BD">
      <w:pPr>
        <w:spacing w:before="100" w:beforeAutospacing="1" w:after="100" w:afterAutospacing="1" w:line="300" w:lineRule="atLeast"/>
        <w:outlineLvl w:val="1"/>
        <w:rPr>
          <w:rFonts w:asciiTheme="majorHAnsi" w:hAnsiTheme="majorHAnsi" w:cs="Segoe UI"/>
          <w:b/>
          <w:bCs/>
          <w:color w:val="auto"/>
          <w:sz w:val="28"/>
          <w:szCs w:val="28"/>
          <w:lang w:val="en-GB"/>
        </w:rPr>
      </w:pPr>
      <w:r w:rsidRPr="00D349BE">
        <w:rPr>
          <w:rFonts w:asciiTheme="majorHAnsi" w:hAnsiTheme="majorHAnsi" w:cs="Segoe UI"/>
          <w:b/>
          <w:bCs/>
          <w:color w:val="auto"/>
          <w:sz w:val="28"/>
          <w:szCs w:val="28"/>
          <w:lang w:val="en-GB"/>
        </w:rPr>
        <w:t>General remarks</w:t>
      </w:r>
    </w:p>
    <w:p w14:paraId="5CABB338"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Insurance Sweden fully supports the objective of ensuring fair and non-discriminatory access to financial services for individuals who have recovered from cancer. Continued advances in medical treatment and significantly improved survival rates make it increasingly important that risk assessments and underwriting practices reflect current medical, scientific and actuarial evidence.</w:t>
      </w:r>
    </w:p>
    <w:p w14:paraId="42074F39" w14:textId="25535D3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 xml:space="preserve">At the same time, it is essential that any future Commission guidance </w:t>
      </w:r>
      <w:r w:rsidR="006F304E">
        <w:rPr>
          <w:rFonts w:cs="Segoe UI"/>
          <w:color w:val="auto"/>
          <w:szCs w:val="20"/>
          <w:lang w:val="en-GB"/>
        </w:rPr>
        <w:t xml:space="preserve">on RTBF </w:t>
      </w:r>
      <w:r w:rsidRPr="00D349BE">
        <w:rPr>
          <w:rFonts w:cs="Segoe UI"/>
          <w:color w:val="auto"/>
          <w:szCs w:val="20"/>
          <w:lang w:val="en-GB"/>
        </w:rPr>
        <w:t>recognises the substantial differences between Member States with regard to healthcare systems, insurance markets, legal frameworks and consumer protection arrangements. Different Member States have adopted different approaches to promoting fair access to financial services, and these national solutions should be respected.</w:t>
      </w:r>
    </w:p>
    <w:p w14:paraId="2D771C6B"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In Sweden, access to personal insurance is supported by a well-established legal and regulatory framework. A central component of this framework is the statutory obligation to contract under the Swedish Insurance Contracts Act (FAL), which generally requires insurers to offer personal insurance unless there are objectively justified reasons not to do so. Applications must be assessed individually and decisions must be based on relevant medical, scientific and actuarial evidence.</w:t>
      </w:r>
    </w:p>
    <w:p w14:paraId="4D89FF20"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 xml:space="preserve">The Swedish framework is based on general consumer protection principles and individual risk assessments rather than disease-specific rights or fixed waiting periods. It seeks to ensure fair access through individual assessments, </w:t>
      </w:r>
      <w:r w:rsidRPr="00D349BE">
        <w:rPr>
          <w:rFonts w:cs="Segoe UI"/>
          <w:color w:val="auto"/>
          <w:szCs w:val="20"/>
          <w:lang w:val="en-GB"/>
        </w:rPr>
        <w:lastRenderedPageBreak/>
        <w:t>transparency and legal safeguards that apply equally to all consumers regardless of their medical history.</w:t>
      </w:r>
    </w:p>
    <w:p w14:paraId="36A737AD" w14:textId="77777777" w:rsidR="00BC3AC6" w:rsidRPr="00BC3AC6" w:rsidRDefault="00BC3AC6" w:rsidP="00BC3AC6">
      <w:pPr>
        <w:spacing w:before="100" w:beforeAutospacing="1" w:after="100" w:afterAutospacing="1" w:line="300" w:lineRule="atLeast"/>
        <w:rPr>
          <w:rFonts w:cs="Segoe UI"/>
          <w:color w:val="auto"/>
          <w:szCs w:val="20"/>
          <w:lang w:val="en-GB"/>
        </w:rPr>
      </w:pPr>
      <w:r w:rsidRPr="00BC3AC6">
        <w:rPr>
          <w:rFonts w:cs="Segoe UI"/>
          <w:color w:val="auto"/>
          <w:szCs w:val="20"/>
          <w:lang w:val="en-GB"/>
        </w:rPr>
        <w:t>However, the Swedish model is not based solely on legislation. The insurance industry has also adopted a number of self-regulatory measures that strengthen transparency, consumer protection and accessibility in relation to personal insurance. One example is the requirement for insurers to provide clear information regarding the reasons for a decision when an application for personal insurance is wholly or partially declined (</w:t>
      </w:r>
      <w:r w:rsidRPr="00BC3AC6">
        <w:rPr>
          <w:rFonts w:cs="Segoe UI"/>
          <w:i/>
          <w:iCs/>
          <w:color w:val="auto"/>
          <w:szCs w:val="20"/>
          <w:lang w:val="en-GB"/>
        </w:rPr>
        <w:t>Recommendation regarding information when personal insurance is denied</w:t>
      </w:r>
      <w:r w:rsidRPr="00BC3AC6">
        <w:rPr>
          <w:rFonts w:cs="Segoe UI"/>
          <w:color w:val="auto"/>
          <w:szCs w:val="20"/>
          <w:lang w:val="en-GB"/>
        </w:rPr>
        <w:t>). This enables consumers to understand the basis of the decision, request a review where appropriate, or provide additional information.</w:t>
      </w:r>
    </w:p>
    <w:p w14:paraId="480FC97B" w14:textId="77777777" w:rsidR="00BC3AC6" w:rsidRPr="00BC3AC6" w:rsidRDefault="00BC3AC6" w:rsidP="00BC3AC6">
      <w:pPr>
        <w:spacing w:before="100" w:beforeAutospacing="1" w:after="100" w:afterAutospacing="1" w:line="300" w:lineRule="atLeast"/>
        <w:rPr>
          <w:rFonts w:cs="Segoe UI"/>
          <w:color w:val="auto"/>
          <w:szCs w:val="20"/>
          <w:lang w:val="en-GB"/>
        </w:rPr>
      </w:pPr>
      <w:r w:rsidRPr="00BC3AC6">
        <w:rPr>
          <w:rFonts w:cs="Segoe UI"/>
          <w:color w:val="auto"/>
          <w:szCs w:val="20"/>
          <w:lang w:val="en-GB"/>
        </w:rPr>
        <w:t>The industry has also adopted recommendations regarding customer care and accessibility in connection with applications for personal insurance (</w:t>
      </w:r>
      <w:r w:rsidRPr="00BC3AC6">
        <w:rPr>
          <w:rFonts w:cs="Segoe UI"/>
          <w:i/>
          <w:iCs/>
          <w:color w:val="auto"/>
          <w:szCs w:val="20"/>
          <w:lang w:val="en-GB"/>
        </w:rPr>
        <w:t>Recommendation regarding customer care</w:t>
      </w:r>
      <w:r w:rsidRPr="00BC3AC6">
        <w:rPr>
          <w:rFonts w:cs="Segoe UI"/>
          <w:color w:val="auto"/>
          <w:szCs w:val="20"/>
          <w:lang w:val="en-GB"/>
        </w:rPr>
        <w:t>), as well as recommendations concerning the quality assurance of insurance medical risk assessments and insurance medical guidelines (</w:t>
      </w:r>
      <w:r w:rsidRPr="00BC3AC6">
        <w:rPr>
          <w:rFonts w:cs="Segoe UI"/>
          <w:i/>
          <w:iCs/>
          <w:color w:val="auto"/>
          <w:szCs w:val="20"/>
          <w:lang w:val="en-GB"/>
        </w:rPr>
        <w:t>Recommendation regarding quality assurance</w:t>
      </w:r>
      <w:r w:rsidRPr="00BC3AC6">
        <w:rPr>
          <w:rFonts w:cs="Segoe UI"/>
          <w:color w:val="auto"/>
          <w:szCs w:val="20"/>
          <w:lang w:val="en-GB"/>
        </w:rPr>
        <w:t>). Among other things, these recommendations promote individual assessments, accessibility and support for applicants throughout the application process, as well as high standards in insurance medical underwriting based on medical science, proven experience and regularly reviewed insurance medical guidelines. Together, these self-regulatory measures form a coherent framework that complements the statutory obligation to contract and contributes to a transparent, predictable and trusted framework.</w:t>
      </w:r>
    </w:p>
    <w:p w14:paraId="12AA6E84"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Taken together, the combination of statutory consumer protection, individual risk assessment and industry self-regulation has created a well-functioning system that promotes fair access to personal insurance.</w:t>
      </w:r>
    </w:p>
    <w:p w14:paraId="59068E88" w14:textId="1D4CDF85"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Against this background, there is no public debate in Sweden suggesting that cancer survivors face systemic difficulties in obtaining access to insurance or other financial services.</w:t>
      </w:r>
      <w:r w:rsidR="00752282">
        <w:rPr>
          <w:rFonts w:cs="Segoe UI"/>
          <w:color w:val="auto"/>
          <w:szCs w:val="20"/>
          <w:lang w:val="en-GB"/>
        </w:rPr>
        <w:t xml:space="preserve"> </w:t>
      </w:r>
      <w:r w:rsidRPr="00D349BE">
        <w:rPr>
          <w:rFonts w:cs="Segoe UI"/>
          <w:color w:val="auto"/>
          <w:szCs w:val="20"/>
          <w:lang w:val="en-GB"/>
        </w:rPr>
        <w:t xml:space="preserve">Nor has the Swedish </w:t>
      </w:r>
      <w:r w:rsidR="00677728" w:rsidRPr="00D349BE">
        <w:rPr>
          <w:rFonts w:cs="Segoe UI"/>
          <w:color w:val="auto"/>
          <w:szCs w:val="20"/>
          <w:lang w:val="en-GB"/>
        </w:rPr>
        <w:t>c</w:t>
      </w:r>
      <w:r w:rsidRPr="00D349BE">
        <w:rPr>
          <w:rFonts w:cs="Segoe UI"/>
          <w:color w:val="auto"/>
          <w:szCs w:val="20"/>
          <w:lang w:val="en-GB"/>
        </w:rPr>
        <w:t xml:space="preserve">ancer </w:t>
      </w:r>
      <w:r w:rsidR="006F7170" w:rsidRPr="00D349BE">
        <w:rPr>
          <w:rFonts w:cs="Segoe UI"/>
          <w:color w:val="auto"/>
          <w:szCs w:val="20"/>
          <w:lang w:val="en-GB"/>
        </w:rPr>
        <w:t>organisation</w:t>
      </w:r>
      <w:r w:rsidRPr="00D349BE">
        <w:rPr>
          <w:rFonts w:cs="Segoe UI"/>
          <w:color w:val="auto"/>
          <w:szCs w:val="20"/>
          <w:lang w:val="en-GB"/>
        </w:rPr>
        <w:t xml:space="preserve"> (Cancerfonden) identified or raised concerns regarding systemic barriers affecting cancer </w:t>
      </w:r>
      <w:r w:rsidR="00966DC1" w:rsidRPr="00D349BE">
        <w:rPr>
          <w:rFonts w:cs="Segoe UI"/>
          <w:color w:val="auto"/>
          <w:szCs w:val="20"/>
          <w:lang w:val="en-GB"/>
        </w:rPr>
        <w:t>survivors’</w:t>
      </w:r>
      <w:r w:rsidRPr="00D349BE">
        <w:rPr>
          <w:rFonts w:cs="Segoe UI"/>
          <w:color w:val="auto"/>
          <w:szCs w:val="20"/>
          <w:lang w:val="en-GB"/>
        </w:rPr>
        <w:t xml:space="preserve"> access to insurance or other financial services. On the contrary, the absence of such concerns reflects the fact that the existing Swedish framework already provides effective safeguards and access mechanisms for consumers.</w:t>
      </w:r>
    </w:p>
    <w:p w14:paraId="15F437E5" w14:textId="008C40CD"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In Insurance Sweden’s view, the Swedish framework already achieves the policy objective underlying Right to be Forgotten (RTBF) initiatives through a different, but effective, legal and regulatory approach.</w:t>
      </w:r>
      <w:r w:rsidR="009C1A6E">
        <w:rPr>
          <w:rFonts w:cs="Segoe UI"/>
          <w:color w:val="auto"/>
          <w:szCs w:val="20"/>
          <w:lang w:val="en-GB"/>
        </w:rPr>
        <w:t xml:space="preserve"> </w:t>
      </w:r>
      <w:r w:rsidRPr="00D349BE">
        <w:rPr>
          <w:rFonts w:cs="Segoe UI"/>
          <w:color w:val="auto"/>
          <w:szCs w:val="20"/>
          <w:lang w:val="en-GB"/>
        </w:rPr>
        <w:t>For this reason, Insurance Sweden does not support the introduction of a mandatory or harmonised RTBF framework at European level.</w:t>
      </w:r>
    </w:p>
    <w:p w14:paraId="55110C67"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lastRenderedPageBreak/>
        <w:t>A mandatory RTBF regime based on predetermined waiting periods would fundamentally differ from, and potentially conflict with, the Swedish model. Whereas the Swedish framework is based on individual assessments of the applicant’s circumstances, RTBF systems generally rely on standardised assumptions that prevent financial service providers from considering certain information after a predefined period. Such an approach risks replacing evidence-based individual assessments with regulatory presumptions.</w:t>
      </w:r>
    </w:p>
    <w:p w14:paraId="3B2F8F33" w14:textId="32CB6D9B" w:rsidR="004F74A3"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It is therefore of fundamental importance that any future Commission guidance remains strictly non-binding in nature.</w:t>
      </w:r>
    </w:p>
    <w:p w14:paraId="7F45DA8B" w14:textId="7002EC49"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Any guidance should:</w:t>
      </w:r>
    </w:p>
    <w:p w14:paraId="35DE1469"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remain voluntary for Member States and market participants;</w:t>
      </w:r>
    </w:p>
    <w:p w14:paraId="23C1DB2F"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explicitly recognise that different national frameworks may achieve the same policy objective through different means;</w:t>
      </w:r>
    </w:p>
    <w:p w14:paraId="5F026826"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preserve Member States’ ability to rely on existing legal frameworks, including the Swedish obligation to contract in relation to personal insurance;</w:t>
      </w:r>
    </w:p>
    <w:p w14:paraId="7A625DFB"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fully respect national legislation and national consumer protection systems;</w:t>
      </w:r>
    </w:p>
    <w:p w14:paraId="2ABC60C5"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explicitly allow for national derogations where national law already provides effective protection;</w:t>
      </w:r>
    </w:p>
    <w:p w14:paraId="17D91F57"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avoid introducing harmonised waiting periods, underwriting requirements or other de facto binding standards; and</w:t>
      </w:r>
    </w:p>
    <w:p w14:paraId="7F9401CD" w14:textId="77777777" w:rsidR="007F07BD" w:rsidRPr="00D349BE" w:rsidRDefault="007F07BD" w:rsidP="007F07BD">
      <w:pPr>
        <w:numPr>
          <w:ilvl w:val="0"/>
          <w:numId w:val="21"/>
        </w:numPr>
        <w:spacing w:before="100" w:beforeAutospacing="1" w:after="100" w:afterAutospacing="1" w:line="300" w:lineRule="atLeast"/>
        <w:rPr>
          <w:rFonts w:cs="Segoe UI"/>
          <w:color w:val="auto"/>
          <w:szCs w:val="20"/>
          <w:lang w:val="en-GB"/>
        </w:rPr>
      </w:pPr>
      <w:r w:rsidRPr="00D349BE">
        <w:rPr>
          <w:rFonts w:cs="Segoe UI"/>
          <w:color w:val="auto"/>
          <w:szCs w:val="20"/>
          <w:lang w:val="en-GB"/>
        </w:rPr>
        <w:t>be fully consistent with the principles of subsidiarity and proportionality.</w:t>
      </w:r>
    </w:p>
    <w:p w14:paraId="6C161453"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The Commission’s objective should be to identify and share good practices across Member States, not to establish a single European model. Member States that already ensure fair access through national legislation, established consumer protection frameworks and complementary self-regulation should retain the flexibility to maintain their existing arrangements.</w:t>
      </w:r>
    </w:p>
    <w:p w14:paraId="2616A1ED" w14:textId="77777777" w:rsidR="007F07BD" w:rsidRPr="00D349BE" w:rsidRDefault="00000000" w:rsidP="007F07BD">
      <w:pPr>
        <w:spacing w:after="0" w:line="300" w:lineRule="atLeast"/>
        <w:rPr>
          <w:rFonts w:ascii="Segoe UI" w:hAnsi="Segoe UI" w:cs="Segoe UI"/>
          <w:color w:val="auto"/>
          <w:sz w:val="21"/>
          <w:szCs w:val="21"/>
          <w:lang w:val="en-GB"/>
        </w:rPr>
      </w:pPr>
      <w:r>
        <w:rPr>
          <w:rFonts w:ascii="Segoe UI" w:hAnsi="Segoe UI" w:cs="Segoe UI"/>
          <w:color w:val="auto"/>
          <w:sz w:val="21"/>
          <w:szCs w:val="21"/>
          <w:lang w:val="en-GB"/>
        </w:rPr>
        <w:pict w14:anchorId="12166A6F">
          <v:rect id="_x0000_i1025" style="width:0;height:1.5pt" o:hralign="center" o:hrstd="t" o:hr="t" fillcolor="#a0a0a0" stroked="f"/>
        </w:pict>
      </w:r>
    </w:p>
    <w:p w14:paraId="4D4EB89E" w14:textId="77777777" w:rsidR="007F07BD" w:rsidRPr="00D349BE" w:rsidRDefault="007F07BD" w:rsidP="007F07BD">
      <w:pPr>
        <w:spacing w:before="100" w:beforeAutospacing="1" w:after="100" w:afterAutospacing="1" w:line="300" w:lineRule="atLeast"/>
        <w:outlineLvl w:val="0"/>
        <w:rPr>
          <w:rFonts w:asciiTheme="majorHAnsi" w:hAnsiTheme="majorHAnsi" w:cs="Segoe UI"/>
          <w:b/>
          <w:bCs/>
          <w:color w:val="auto"/>
          <w:kern w:val="36"/>
          <w:sz w:val="28"/>
          <w:szCs w:val="28"/>
          <w:lang w:val="en-GB"/>
        </w:rPr>
      </w:pPr>
      <w:r w:rsidRPr="00D349BE">
        <w:rPr>
          <w:rFonts w:asciiTheme="majorHAnsi" w:hAnsiTheme="majorHAnsi" w:cs="Segoe UI"/>
          <w:b/>
          <w:bCs/>
          <w:color w:val="auto"/>
          <w:kern w:val="36"/>
          <w:sz w:val="28"/>
          <w:szCs w:val="28"/>
          <w:lang w:val="en-GB"/>
        </w:rPr>
        <w:t>Insurance Sweden’s Responses to the Consultation Questions</w:t>
      </w:r>
    </w:p>
    <w:p w14:paraId="600D7617"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1</w:t>
      </w:r>
    </w:p>
    <w:p w14:paraId="2612ED33" w14:textId="77777777" w:rsidR="009627ED" w:rsidRPr="00D349BE" w:rsidRDefault="009627ED" w:rsidP="009627ED">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consider that all EU Member States should have at national level a framework for a right to be forgotten for cancer survivors covering areas beyond the Consumer Credit Directive?</w:t>
      </w:r>
    </w:p>
    <w:p w14:paraId="410B856C"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lastRenderedPageBreak/>
        <w:t>Answer: No.</w:t>
      </w:r>
    </w:p>
    <w:p w14:paraId="720A4DC8"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Member States have different healthcare systems, legal frameworks and financial services markets. Sweden already achieves the underlying policy objective through the statutory obligation to contract, individual risk assessments and complementary industry self-regulation.</w:t>
      </w:r>
    </w:p>
    <w:p w14:paraId="1056F1C9"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The focus should be on ensuring fair access to financial services rather than prescribing a specific regulatory model. Any future Commission guidance on RTBF should therefore remain non-binding and should not prejudice existing national frameworks that already function effectively.</w:t>
      </w:r>
    </w:p>
    <w:p w14:paraId="728676DF"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00FDCC6A">
          <v:rect id="_x0000_i1026" style="width:0;height:1.5pt" o:hralign="center" o:hrstd="t" o:hr="t" fillcolor="#a0a0a0" stroked="f"/>
        </w:pict>
      </w:r>
    </w:p>
    <w:p w14:paraId="2B8B3476"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2</w:t>
      </w:r>
    </w:p>
    <w:p w14:paraId="62145318" w14:textId="77777777" w:rsidR="00115F07" w:rsidRPr="00D349BE" w:rsidRDefault="00115F07" w:rsidP="00115F07">
      <w:pPr>
        <w:spacing w:after="0" w:line="300" w:lineRule="atLeast"/>
        <w:rPr>
          <w:rFonts w:cs="Segoe UI"/>
          <w:b/>
          <w:bCs/>
          <w:color w:val="auto"/>
          <w:szCs w:val="20"/>
          <w:lang w:val="en-GB"/>
        </w:rPr>
      </w:pPr>
      <w:r w:rsidRPr="00D349BE">
        <w:rPr>
          <w:rFonts w:cs="Segoe UI"/>
          <w:b/>
          <w:bCs/>
          <w:color w:val="auto"/>
          <w:szCs w:val="20"/>
          <w:lang w:val="en-GB"/>
        </w:rPr>
        <w:t>Do you agree that the priority areas in which a right to be forgotten for cancer survivors should be implemented are in relation to access to life insurance policies that guarantee the repayment of mortgage and professional loans?</w:t>
      </w:r>
    </w:p>
    <w:p w14:paraId="3C1CD016"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No.</w:t>
      </w:r>
    </w:p>
    <w:p w14:paraId="508F138F" w14:textId="77777777" w:rsidR="00B11949" w:rsidRPr="00D349BE" w:rsidRDefault="00B11949" w:rsidP="00B11949">
      <w:pPr>
        <w:pStyle w:val="Normalwebb"/>
        <w:spacing w:line="300" w:lineRule="atLeast"/>
        <w:rPr>
          <w:rFonts w:asciiTheme="minorHAnsi" w:hAnsiTheme="minorHAnsi" w:cs="Segoe UI"/>
          <w:sz w:val="20"/>
          <w:szCs w:val="20"/>
          <w:lang w:val="en-GB"/>
        </w:rPr>
      </w:pPr>
      <w:r w:rsidRPr="00D349BE">
        <w:rPr>
          <w:rFonts w:asciiTheme="minorHAnsi" w:hAnsiTheme="minorHAnsi" w:cs="Segoe UI"/>
          <w:sz w:val="20"/>
          <w:szCs w:val="20"/>
          <w:lang w:val="en-GB"/>
        </w:rPr>
        <w:t>Insurance Sweden does not consider it necessary to identify specific insurance products or sectors as priority areas for the implementation of Right to be Forgotten frameworks. Member States differ significantly with respect to their insurance markets, lending practices and consumer protection frameworks.</w:t>
      </w:r>
    </w:p>
    <w:p w14:paraId="1BEE347C" w14:textId="77777777" w:rsidR="00B11949" w:rsidRPr="00D349BE" w:rsidRDefault="00B11949" w:rsidP="00B11949">
      <w:pPr>
        <w:pStyle w:val="Normalwebb"/>
        <w:spacing w:line="300" w:lineRule="atLeast"/>
        <w:rPr>
          <w:rFonts w:asciiTheme="minorHAnsi" w:hAnsiTheme="minorHAnsi" w:cs="Segoe UI"/>
          <w:sz w:val="20"/>
          <w:szCs w:val="20"/>
          <w:lang w:val="en-GB"/>
        </w:rPr>
      </w:pPr>
      <w:r w:rsidRPr="00D349BE">
        <w:rPr>
          <w:rFonts w:asciiTheme="minorHAnsi" w:hAnsiTheme="minorHAnsi" w:cs="Segoe UI"/>
          <w:sz w:val="20"/>
          <w:szCs w:val="20"/>
          <w:lang w:val="en-GB"/>
        </w:rPr>
        <w:t>In Sweden, life insurance products linked to mortgage or professional loans are generally not a prerequisite for obtaining credit. Furthermore, existing legal and regulatory arrangements already promote fair access to personal insurance through individual assessments and the statutory obligation to contract.</w:t>
      </w:r>
    </w:p>
    <w:p w14:paraId="1C60433A" w14:textId="77777777" w:rsidR="00B11949" w:rsidRPr="00D349BE" w:rsidRDefault="00B11949" w:rsidP="00B11949">
      <w:pPr>
        <w:pStyle w:val="Normalwebb"/>
        <w:spacing w:line="300" w:lineRule="atLeast"/>
        <w:rPr>
          <w:rFonts w:ascii="Segoe UI" w:hAnsi="Segoe UI" w:cs="Segoe UI"/>
          <w:sz w:val="21"/>
          <w:szCs w:val="21"/>
          <w:lang w:val="en-GB"/>
        </w:rPr>
      </w:pPr>
      <w:r w:rsidRPr="00D349BE">
        <w:rPr>
          <w:rFonts w:asciiTheme="minorHAnsi" w:hAnsiTheme="minorHAnsi" w:cs="Segoe UI"/>
          <w:sz w:val="20"/>
          <w:szCs w:val="20"/>
          <w:lang w:val="en-GB"/>
        </w:rPr>
        <w:t>Future Commission guidance should therefore allow Member States to determine whether any particular products or sectors warrant specific attention within their national frameworks.</w:t>
      </w:r>
    </w:p>
    <w:p w14:paraId="68106A93"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2397B8CE">
          <v:rect id="_x0000_i1027" style="width:0;height:1.5pt" o:hralign="center" o:hrstd="t" o:hr="t" fillcolor="#a0a0a0" stroked="f"/>
        </w:pict>
      </w:r>
    </w:p>
    <w:p w14:paraId="58D579B8"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3</w:t>
      </w:r>
    </w:p>
    <w:p w14:paraId="3B1BD8E5" w14:textId="77777777" w:rsidR="00C412B5" w:rsidRPr="00D349BE" w:rsidRDefault="00C412B5" w:rsidP="00C412B5">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believe there are any other areas where the right to be forgotten for cancer survivors should be implemented?</w:t>
      </w:r>
    </w:p>
    <w:p w14:paraId="1B6A55C1"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lastRenderedPageBreak/>
        <w:t>Answer: No.</w:t>
      </w:r>
    </w:p>
    <w:p w14:paraId="596898A4"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The Swedish framework already provides broad consumer protection through diagnosis-neutral rules. Introducing disease-specific rules for selected products may create inconsistencies and undermine the coherence of existing national systems.</w:t>
      </w:r>
    </w:p>
    <w:p w14:paraId="1CB4A904"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0E997674">
          <v:rect id="_x0000_i1028" style="width:0;height:1.5pt" o:hralign="center" o:hrstd="t" o:hr="t" fillcolor="#a0a0a0" stroked="f"/>
        </w:pict>
      </w:r>
    </w:p>
    <w:p w14:paraId="59C4C556"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4</w:t>
      </w:r>
    </w:p>
    <w:p w14:paraId="08992A9C" w14:textId="77777777" w:rsidR="00C61B7A" w:rsidRPr="00D349BE" w:rsidRDefault="00C61B7A" w:rsidP="00C61B7A">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When considering a right to be forgotten for life insurance policies that guarantee the repayment of mortgage and professional loans, do you think that certain aspects may be specific for individual Member States, for instance insured amount limitations, age limitations or other aspects?</w:t>
      </w:r>
    </w:p>
    <w:p w14:paraId="0070186D"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Yes.</w:t>
      </w:r>
    </w:p>
    <w:p w14:paraId="6765C9C3"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National circumstances are highly relevant.</w:t>
      </w:r>
    </w:p>
    <w:p w14:paraId="46FA3893"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Healthcare outcomes, insurance markets, social protection systems, legal frameworks and financial products differ considerably between Member States. Any guidance should therefore allow for national adaptation and explicitly recognise that Member States may achieve the same objectives through different mechanisms.</w:t>
      </w:r>
    </w:p>
    <w:p w14:paraId="08593294"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30620749">
          <v:rect id="_x0000_i1029" style="width:0;height:1.5pt" o:hralign="center" o:hrstd="t" o:hr="t" fillcolor="#a0a0a0" stroked="f"/>
        </w:pict>
      </w:r>
    </w:p>
    <w:p w14:paraId="60F5FCB4"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5</w:t>
      </w:r>
    </w:p>
    <w:p w14:paraId="4A667A9D" w14:textId="77777777" w:rsidR="00655733" w:rsidRPr="00D349BE" w:rsidRDefault="00655733" w:rsidP="00655733">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consider that a right to be forgotten framework should follow an evidence-based approach whereby medical advancements in oncology, as proven by medical, scientific, and actuarial evidence, are taken into account as they emerge?</w:t>
      </w:r>
    </w:p>
    <w:p w14:paraId="2535E7C4"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Yes.</w:t>
      </w:r>
    </w:p>
    <w:p w14:paraId="20091C7A"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Any framework addressing cancer survivorship should be evidence-based and capable of adapting to scientific progress.</w:t>
      </w:r>
    </w:p>
    <w:p w14:paraId="189638BC"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Medical developments continue to improve long-term outcomes for many cancer diagnoses. Any assessment framework should therefore be regularly reviewed and updated in light of new evidence.</w:t>
      </w:r>
    </w:p>
    <w:p w14:paraId="560B318D"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3BBE541F">
          <v:rect id="_x0000_i1030" style="width:0;height:1.5pt" o:hralign="center" o:hrstd="t" o:hr="t" fillcolor="#a0a0a0" stroked="f"/>
        </w:pict>
      </w:r>
    </w:p>
    <w:p w14:paraId="0678E357"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lastRenderedPageBreak/>
        <w:t>Question 6</w:t>
      </w:r>
    </w:p>
    <w:p w14:paraId="5B8CC138" w14:textId="77777777" w:rsidR="00C66C7B" w:rsidRPr="00D349BE" w:rsidRDefault="00C66C7B" w:rsidP="00C66C7B">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consider that waiting periods set at national level are a useful tool to achieve fair access for cancer survivors?</w:t>
      </w:r>
    </w:p>
    <w:p w14:paraId="766C01A2"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No.</w:t>
      </w:r>
    </w:p>
    <w:p w14:paraId="2887ADB9"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Different cancers, treatment pathways and long-term outcomes vary significantly. Fixed waiting periods risk producing arbitrary outcomes and may not accurately reflect individual circumstances. Individual and evidence-based assessments remain the preferable approach.</w:t>
      </w:r>
    </w:p>
    <w:p w14:paraId="78204E12"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0FAE0E3B">
          <v:rect id="_x0000_i1031" style="width:0;height:1.5pt" o:hralign="center" o:hrstd="t" o:hr="t" fillcolor="#a0a0a0" stroked="f"/>
        </w:pict>
      </w:r>
    </w:p>
    <w:p w14:paraId="0A600DC4"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7</w:t>
      </w:r>
    </w:p>
    <w:p w14:paraId="770C6EF7" w14:textId="77777777" w:rsidR="00BD3EE8" w:rsidRPr="00D349BE" w:rsidRDefault="00BD3EE8" w:rsidP="00BD3EE8">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consider that reference grids established at national level are a useful tool to achieve fair access for cancer survivors, where such grids reflect appropriate evidence-based waiting periods according to specific conditions, such as cancer type, stage, age or therapeutic treatment?</w:t>
      </w:r>
    </w:p>
    <w:p w14:paraId="79E52677"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Yes, provided they remain flexible.</w:t>
      </w:r>
    </w:p>
    <w:p w14:paraId="6701A8AD"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While such tools are not necessary within the Swedish framework, reference grids may be useful for Member States that choose to implement RTBF frameworks, provided they are evidence-based, regularly updated and sufficiently flexible.</w:t>
      </w:r>
    </w:p>
    <w:p w14:paraId="45B0E205"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However, such tools should support rather than replace individual assessments.</w:t>
      </w:r>
    </w:p>
    <w:p w14:paraId="2DDBA63F"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2364AAE0">
          <v:rect id="_x0000_i1032" style="width:0;height:1.5pt" o:hralign="center" o:hrstd="t" o:hr="t" fillcolor="#a0a0a0" stroked="f"/>
        </w:pict>
      </w:r>
    </w:p>
    <w:p w14:paraId="5E857CDA"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8</w:t>
      </w:r>
    </w:p>
    <w:p w14:paraId="7C1CB552" w14:textId="77777777" w:rsidR="00C72E84" w:rsidRPr="00D349BE" w:rsidRDefault="00C72E84" w:rsidP="00C72E84">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consider that national right to be forgotten frameworks should include a combination of waiting periods and reference grids?</w:t>
      </w:r>
    </w:p>
    <w:p w14:paraId="04EEE997"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Yes, if a Member State chooses to implement an RTBF framework.</w:t>
      </w:r>
    </w:p>
    <w:p w14:paraId="5C83FBCD"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If a Member State chooses to implement an RTBF framework, a combination of waiting periods and reference grids may provide greater flexibility than a single uniform waiting period.</w:t>
      </w:r>
    </w:p>
    <w:p w14:paraId="4E5FDF48"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lastRenderedPageBreak/>
        <w:t>Any such framework should remain nationally determined and be based on current medical and scientific evidence.</w:t>
      </w:r>
    </w:p>
    <w:p w14:paraId="4F05B801"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67FC2B1D">
          <v:rect id="_x0000_i1033" style="width:0;height:1.5pt" o:hralign="center" o:hrstd="t" o:hr="t" fillcolor="#a0a0a0" stroked="f"/>
        </w:pict>
      </w:r>
    </w:p>
    <w:p w14:paraId="168B740E" w14:textId="77777777" w:rsidR="00B87F3D" w:rsidRDefault="00B87F3D" w:rsidP="007F07BD">
      <w:pPr>
        <w:spacing w:before="100" w:beforeAutospacing="1" w:after="100" w:afterAutospacing="1" w:line="300" w:lineRule="atLeast"/>
        <w:outlineLvl w:val="1"/>
        <w:rPr>
          <w:rFonts w:cs="Segoe UI"/>
          <w:b/>
          <w:bCs/>
          <w:color w:val="auto"/>
          <w:szCs w:val="20"/>
          <w:lang w:val="en-GB"/>
        </w:rPr>
      </w:pPr>
    </w:p>
    <w:p w14:paraId="5548BD5B" w14:textId="77777777" w:rsidR="00B87F3D" w:rsidRDefault="00B87F3D" w:rsidP="007F07BD">
      <w:pPr>
        <w:spacing w:before="100" w:beforeAutospacing="1" w:after="100" w:afterAutospacing="1" w:line="300" w:lineRule="atLeast"/>
        <w:outlineLvl w:val="1"/>
        <w:rPr>
          <w:rFonts w:cs="Segoe UI"/>
          <w:b/>
          <w:bCs/>
          <w:color w:val="auto"/>
          <w:szCs w:val="20"/>
          <w:lang w:val="en-GB"/>
        </w:rPr>
      </w:pPr>
    </w:p>
    <w:p w14:paraId="2970D8F4" w14:textId="7EEFEC4A"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9</w:t>
      </w:r>
    </w:p>
    <w:p w14:paraId="74277008" w14:textId="77777777" w:rsidR="00C72E84" w:rsidRPr="00D349BE" w:rsidRDefault="00C72E84" w:rsidP="00C72E84">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agree that for paediatric cancers diagnosed before age 21, a maximum 5-year waiting period post-treatment would be beneficial across all Member States?</w:t>
      </w:r>
    </w:p>
    <w:p w14:paraId="5098D49C"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No.</w:t>
      </w:r>
    </w:p>
    <w:p w14:paraId="122136A6"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Childhood cancers encompass a wide range of diagnoses with different prognoses and long-term outcomes. A single waiting period cannot adequately reflect these differences.</w:t>
      </w:r>
    </w:p>
    <w:p w14:paraId="1F3A26D8"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Any approach should remain evidence-based and proportionate.</w:t>
      </w:r>
    </w:p>
    <w:p w14:paraId="14F0EA36"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500EEC46">
          <v:rect id="_x0000_i1034" style="width:0;height:1.5pt" o:hralign="center" o:hrstd="t" o:hr="t" fillcolor="#a0a0a0" stroked="f"/>
        </w:pict>
      </w:r>
    </w:p>
    <w:p w14:paraId="7955E6DD"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10</w:t>
      </w:r>
    </w:p>
    <w:p w14:paraId="4D4D0473" w14:textId="77777777" w:rsidR="00EB4F62" w:rsidRPr="00D349BE" w:rsidRDefault="00EB4F62" w:rsidP="00EB4F62">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For the purpose of designing or updating the waiting periods and/or national reference grids, do you consider that establishing national governance structures is relevant?</w:t>
      </w:r>
    </w:p>
    <w:p w14:paraId="1E239742"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No.</w:t>
      </w:r>
    </w:p>
    <w:p w14:paraId="46BB95EB" w14:textId="77777777" w:rsidR="00C47692" w:rsidRPr="00D349BE" w:rsidRDefault="00C47692" w:rsidP="00C47692">
      <w:pPr>
        <w:spacing w:after="0" w:line="300" w:lineRule="atLeast"/>
        <w:rPr>
          <w:rFonts w:cs="Segoe UI"/>
          <w:color w:val="auto"/>
          <w:szCs w:val="20"/>
          <w:lang w:val="en-GB"/>
        </w:rPr>
      </w:pPr>
      <w:r w:rsidRPr="00D349BE">
        <w:rPr>
          <w:rFonts w:cs="Segoe UI"/>
          <w:color w:val="auto"/>
          <w:szCs w:val="20"/>
          <w:lang w:val="en-GB"/>
        </w:rPr>
        <w:t>Existing supervisory structures are generally sufficient for the design, review and updating of waiting periods and national reference grids. Where governance mechanisms are considered necessary, they should build on existing national arrangements and involve medical experts, insurers, reinsurers and competent authorities.</w:t>
      </w:r>
    </w:p>
    <w:p w14:paraId="689681E0"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678B131E">
          <v:rect id="_x0000_i1035" style="width:0;height:1.5pt" o:hralign="center" o:hrstd="t" o:hr="t" fillcolor="#a0a0a0" stroked="f"/>
        </w:pict>
      </w:r>
    </w:p>
    <w:p w14:paraId="71016655"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11</w:t>
      </w:r>
    </w:p>
    <w:p w14:paraId="22224AEE" w14:textId="77777777" w:rsidR="00163D8F" w:rsidRPr="00D349BE" w:rsidRDefault="00163D8F" w:rsidP="00163D8F">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lastRenderedPageBreak/>
        <w:t>What potential consequences of the application of a right to be forgotten (access by cancer survivors to life insurance policies that guarantee the repayment of mortgage and professional loans, impact on prices of the relevant insurance products or overall access to insurance) would you consider necessary to monitor?</w:t>
      </w:r>
    </w:p>
    <w:p w14:paraId="20C2231B"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w:t>
      </w:r>
    </w:p>
    <w:p w14:paraId="52C98E30"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Monitoring should focus on outcomes rather than formal compliance. Relevant indicators include:</w:t>
      </w:r>
    </w:p>
    <w:p w14:paraId="196096F0"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access to financial services for cancer survivors;</w:t>
      </w:r>
    </w:p>
    <w:p w14:paraId="298B4450"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insurance availability and affordability;</w:t>
      </w:r>
    </w:p>
    <w:p w14:paraId="5EC883B5"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premium developments;</w:t>
      </w:r>
    </w:p>
    <w:p w14:paraId="4D719E01"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product design and coverage levels;</w:t>
      </w:r>
    </w:p>
    <w:p w14:paraId="1AC771BE"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impacts on risk pools and claims experience;</w:t>
      </w:r>
    </w:p>
    <w:p w14:paraId="706356A5"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consistency with current medical and scientific evidence; and</w:t>
      </w:r>
    </w:p>
    <w:p w14:paraId="2DFFE2DE" w14:textId="77777777" w:rsidR="007F07BD" w:rsidRPr="00D349BE" w:rsidRDefault="007F07BD" w:rsidP="007F07BD">
      <w:pPr>
        <w:numPr>
          <w:ilvl w:val="0"/>
          <w:numId w:val="22"/>
        </w:numPr>
        <w:spacing w:before="100" w:beforeAutospacing="1" w:after="100" w:afterAutospacing="1" w:line="300" w:lineRule="atLeast"/>
        <w:rPr>
          <w:rFonts w:cs="Segoe UI"/>
          <w:color w:val="auto"/>
          <w:szCs w:val="20"/>
          <w:lang w:val="en-GB"/>
        </w:rPr>
      </w:pPr>
      <w:r w:rsidRPr="00D349BE">
        <w:rPr>
          <w:rFonts w:cs="Segoe UI"/>
          <w:color w:val="auto"/>
          <w:szCs w:val="20"/>
          <w:lang w:val="en-GB"/>
        </w:rPr>
        <w:t>any unintended consequences for consumers or providers.</w:t>
      </w:r>
    </w:p>
    <w:p w14:paraId="4CAF19EB" w14:textId="77777777" w:rsidR="007F07BD" w:rsidRPr="00D349BE" w:rsidRDefault="00000000" w:rsidP="007F07BD">
      <w:pPr>
        <w:spacing w:after="0" w:line="300" w:lineRule="atLeast"/>
        <w:rPr>
          <w:rFonts w:cs="Segoe UI"/>
          <w:color w:val="auto"/>
          <w:szCs w:val="20"/>
          <w:lang w:val="en-GB"/>
        </w:rPr>
      </w:pPr>
      <w:r>
        <w:rPr>
          <w:rFonts w:cs="Segoe UI"/>
          <w:color w:val="auto"/>
          <w:szCs w:val="20"/>
          <w:lang w:val="en-GB"/>
        </w:rPr>
        <w:pict w14:anchorId="5D694FFF">
          <v:rect id="_x0000_i1036" style="width:0;height:1.5pt" o:hralign="center" o:hrstd="t" o:hr="t" fillcolor="#a0a0a0" stroked="f"/>
        </w:pict>
      </w:r>
    </w:p>
    <w:p w14:paraId="748219D8"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12</w:t>
      </w:r>
    </w:p>
    <w:p w14:paraId="3652F8CE" w14:textId="77777777" w:rsidR="00C70A20" w:rsidRPr="00D349BE" w:rsidRDefault="00C70A20" w:rsidP="00C70A20">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Do you consider that a right to be forgotten monitoring mechanism should be in place?</w:t>
      </w:r>
    </w:p>
    <w:p w14:paraId="63222B63"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 Yes, but only where proportionate.</w:t>
      </w:r>
    </w:p>
    <w:p w14:paraId="3650D4CB" w14:textId="11AEE204" w:rsidR="007F07BD" w:rsidRPr="00D349BE" w:rsidRDefault="00811D31" w:rsidP="007F07BD">
      <w:pPr>
        <w:spacing w:after="0" w:line="300" w:lineRule="atLeast"/>
        <w:rPr>
          <w:rFonts w:cs="Segoe UI"/>
          <w:color w:val="auto"/>
          <w:szCs w:val="20"/>
          <w:lang w:val="en-GB"/>
        </w:rPr>
      </w:pPr>
      <w:r w:rsidRPr="00D349BE">
        <w:rPr>
          <w:rFonts w:cs="Segoe UI"/>
          <w:color w:val="auto"/>
          <w:szCs w:val="20"/>
          <w:lang w:val="en-GB"/>
        </w:rPr>
        <w:t>Where monitoring is considered necessary, it should be proportionate, rely as far as possible on existing national structures and data sources, and should not create unnecessary administrative burdens.</w:t>
      </w:r>
      <w:r w:rsidR="00000000">
        <w:rPr>
          <w:rFonts w:cs="Segoe UI"/>
          <w:color w:val="auto"/>
          <w:szCs w:val="20"/>
          <w:lang w:val="en-GB"/>
        </w:rPr>
        <w:pict w14:anchorId="2C2ECB45">
          <v:rect id="_x0000_i1037" style="width:0;height:1.5pt" o:hralign="center" o:hrstd="t" o:hr="t" fillcolor="#a0a0a0" stroked="f"/>
        </w:pict>
      </w:r>
    </w:p>
    <w:p w14:paraId="56002DA3" w14:textId="77777777" w:rsidR="007F07BD" w:rsidRPr="00D349BE" w:rsidRDefault="007F07BD" w:rsidP="007F07BD">
      <w:pPr>
        <w:spacing w:before="100" w:beforeAutospacing="1" w:after="100" w:afterAutospacing="1" w:line="300" w:lineRule="atLeast"/>
        <w:outlineLvl w:val="1"/>
        <w:rPr>
          <w:rFonts w:cs="Segoe UI"/>
          <w:b/>
          <w:bCs/>
          <w:color w:val="auto"/>
          <w:szCs w:val="20"/>
          <w:lang w:val="en-GB"/>
        </w:rPr>
      </w:pPr>
      <w:r w:rsidRPr="00D349BE">
        <w:rPr>
          <w:rFonts w:cs="Segoe UI"/>
          <w:b/>
          <w:bCs/>
          <w:color w:val="auto"/>
          <w:szCs w:val="20"/>
          <w:lang w:val="en-GB"/>
        </w:rPr>
        <w:t>Question 13</w:t>
      </w:r>
    </w:p>
    <w:p w14:paraId="3C1A5C65" w14:textId="77777777" w:rsidR="00D20737" w:rsidRPr="00D349BE" w:rsidRDefault="00D20737" w:rsidP="00D20737">
      <w:pPr>
        <w:spacing w:before="100" w:beforeAutospacing="1" w:after="100" w:afterAutospacing="1" w:line="300" w:lineRule="atLeast"/>
        <w:rPr>
          <w:rFonts w:cs="Segoe UI"/>
          <w:b/>
          <w:bCs/>
          <w:color w:val="auto"/>
          <w:szCs w:val="20"/>
          <w:lang w:val="en-GB"/>
        </w:rPr>
      </w:pPr>
      <w:r w:rsidRPr="00D349BE">
        <w:rPr>
          <w:rFonts w:cs="Segoe UI"/>
          <w:b/>
          <w:bCs/>
          <w:color w:val="auto"/>
          <w:szCs w:val="20"/>
          <w:lang w:val="en-GB"/>
        </w:rPr>
        <w:t>Should monitoring mechanisms involve participation of: the national competent authorities for insurance; the relevant medical organisations; cancer patients’ organisations; insurance companies; other stakeholders?</w:t>
      </w:r>
    </w:p>
    <w:p w14:paraId="3AB3C86E"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b/>
          <w:bCs/>
          <w:color w:val="auto"/>
          <w:szCs w:val="20"/>
          <w:lang w:val="en-GB"/>
        </w:rPr>
        <w:t>Answer:</w:t>
      </w:r>
    </w:p>
    <w:p w14:paraId="1E1CFFE6"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Monitoring should involve:</w:t>
      </w:r>
    </w:p>
    <w:p w14:paraId="5991EF86" w14:textId="77777777" w:rsidR="007F07BD" w:rsidRPr="00D349BE" w:rsidRDefault="007F07BD" w:rsidP="007F07BD">
      <w:pPr>
        <w:numPr>
          <w:ilvl w:val="0"/>
          <w:numId w:val="23"/>
        </w:numPr>
        <w:spacing w:before="100" w:beforeAutospacing="1" w:after="100" w:afterAutospacing="1" w:line="300" w:lineRule="atLeast"/>
        <w:rPr>
          <w:rFonts w:cs="Segoe UI"/>
          <w:color w:val="auto"/>
          <w:szCs w:val="20"/>
          <w:lang w:val="en-GB"/>
        </w:rPr>
      </w:pPr>
      <w:r w:rsidRPr="00D349BE">
        <w:rPr>
          <w:rFonts w:cs="Segoe UI"/>
          <w:color w:val="auto"/>
          <w:szCs w:val="20"/>
          <w:lang w:val="en-GB"/>
        </w:rPr>
        <w:lastRenderedPageBreak/>
        <w:t>competent national authorities;</w:t>
      </w:r>
    </w:p>
    <w:p w14:paraId="4E9EC0C5" w14:textId="77777777" w:rsidR="007F07BD" w:rsidRPr="00D349BE" w:rsidRDefault="007F07BD" w:rsidP="007F07BD">
      <w:pPr>
        <w:numPr>
          <w:ilvl w:val="0"/>
          <w:numId w:val="23"/>
        </w:numPr>
        <w:spacing w:before="100" w:beforeAutospacing="1" w:after="100" w:afterAutospacing="1" w:line="300" w:lineRule="atLeast"/>
        <w:rPr>
          <w:rFonts w:cs="Segoe UI"/>
          <w:color w:val="auto"/>
          <w:szCs w:val="20"/>
          <w:lang w:val="en-GB"/>
        </w:rPr>
      </w:pPr>
      <w:r w:rsidRPr="00D349BE">
        <w:rPr>
          <w:rFonts w:cs="Segoe UI"/>
          <w:color w:val="auto"/>
          <w:szCs w:val="20"/>
          <w:lang w:val="en-GB"/>
        </w:rPr>
        <w:t>medical experts and medical organisations;</w:t>
      </w:r>
    </w:p>
    <w:p w14:paraId="3B561E48" w14:textId="77777777" w:rsidR="007F07BD" w:rsidRPr="00D349BE" w:rsidRDefault="007F07BD" w:rsidP="007F07BD">
      <w:pPr>
        <w:numPr>
          <w:ilvl w:val="0"/>
          <w:numId w:val="23"/>
        </w:numPr>
        <w:spacing w:before="100" w:beforeAutospacing="1" w:after="100" w:afterAutospacing="1" w:line="300" w:lineRule="atLeast"/>
        <w:rPr>
          <w:rFonts w:cs="Segoe UI"/>
          <w:color w:val="auto"/>
          <w:szCs w:val="20"/>
          <w:lang w:val="en-GB"/>
        </w:rPr>
      </w:pPr>
      <w:r w:rsidRPr="00D349BE">
        <w:rPr>
          <w:rFonts w:cs="Segoe UI"/>
          <w:color w:val="auto"/>
          <w:szCs w:val="20"/>
          <w:lang w:val="en-GB"/>
        </w:rPr>
        <w:t>insurance undertakings; and</w:t>
      </w:r>
    </w:p>
    <w:p w14:paraId="71D48C64" w14:textId="77777777" w:rsidR="007F07BD" w:rsidRPr="00D349BE" w:rsidRDefault="007F07BD" w:rsidP="007F07BD">
      <w:pPr>
        <w:numPr>
          <w:ilvl w:val="0"/>
          <w:numId w:val="23"/>
        </w:numPr>
        <w:spacing w:before="100" w:beforeAutospacing="1" w:after="100" w:afterAutospacing="1" w:line="300" w:lineRule="atLeast"/>
        <w:rPr>
          <w:rFonts w:cs="Segoe UI"/>
          <w:color w:val="auto"/>
          <w:szCs w:val="20"/>
          <w:lang w:val="en-GB"/>
        </w:rPr>
      </w:pPr>
      <w:r w:rsidRPr="00D349BE">
        <w:rPr>
          <w:rFonts w:cs="Segoe UI"/>
          <w:color w:val="auto"/>
          <w:szCs w:val="20"/>
          <w:lang w:val="en-GB"/>
        </w:rPr>
        <w:t>reinsurance undertakings.</w:t>
      </w:r>
    </w:p>
    <w:p w14:paraId="021AC92D" w14:textId="77777777" w:rsidR="007F07BD" w:rsidRPr="00D349BE" w:rsidRDefault="007F07BD" w:rsidP="007F07BD">
      <w:pPr>
        <w:spacing w:before="100" w:beforeAutospacing="1" w:after="100" w:afterAutospacing="1" w:line="300" w:lineRule="atLeast"/>
        <w:rPr>
          <w:rFonts w:cs="Segoe UI"/>
          <w:color w:val="auto"/>
          <w:szCs w:val="20"/>
          <w:lang w:val="en-GB"/>
        </w:rPr>
      </w:pPr>
      <w:r w:rsidRPr="00D349BE">
        <w:rPr>
          <w:rFonts w:cs="Segoe UI"/>
          <w:color w:val="auto"/>
          <w:szCs w:val="20"/>
          <w:lang w:val="en-GB"/>
        </w:rPr>
        <w:t>Patient organisations can provide important perspectives regarding consumer experiences and access-related issues. However, the assessment of medical outcomes, risk implications and market effects should primarily be based on medical, actuarial, supervisory and market expertise.</w:t>
      </w:r>
    </w:p>
    <w:p w14:paraId="3ABB253F" w14:textId="77777777" w:rsidR="00F54FD8" w:rsidRPr="00D349BE" w:rsidRDefault="00F54FD8" w:rsidP="00DC5E8A">
      <w:pPr>
        <w:rPr>
          <w:lang w:val="en-GB"/>
        </w:rPr>
      </w:pPr>
      <w:bookmarkStart w:id="2" w:name="bkmStart"/>
      <w:bookmarkEnd w:id="2"/>
    </w:p>
    <w:sectPr w:rsidR="00F54FD8" w:rsidRPr="00D349BE" w:rsidSect="00D42AC6">
      <w:headerReference w:type="even" r:id="rId8"/>
      <w:headerReference w:type="default" r:id="rId9"/>
      <w:footerReference w:type="even" r:id="rId10"/>
      <w:footerReference w:type="default" r:id="rId11"/>
      <w:headerReference w:type="first" r:id="rId12"/>
      <w:footerReference w:type="first" r:id="rId13"/>
      <w:pgSz w:w="11907" w:h="16839" w:code="9"/>
      <w:pgMar w:top="2098" w:right="1701" w:bottom="1701" w:left="170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94855" w14:textId="77777777" w:rsidR="0086675C" w:rsidRDefault="0086675C" w:rsidP="00A75A57">
      <w:pPr>
        <w:spacing w:line="240" w:lineRule="auto"/>
      </w:pPr>
      <w:r>
        <w:separator/>
      </w:r>
    </w:p>
  </w:endnote>
  <w:endnote w:type="continuationSeparator" w:id="0">
    <w:p w14:paraId="3F966376" w14:textId="77777777" w:rsidR="0086675C" w:rsidRDefault="0086675C" w:rsidP="00A75A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478B" w14:textId="77777777" w:rsidR="007F07BD" w:rsidRDefault="007F07B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135" w:tblpY="15253"/>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8F5BC2" w14:paraId="31DE56DD" w14:textId="77777777" w:rsidTr="008E0FA0">
      <w:trPr>
        <w:cantSplit/>
        <w:trHeight w:hRule="exact" w:val="851"/>
      </w:trPr>
      <w:tc>
        <w:tcPr>
          <w:tcW w:w="9639" w:type="dxa"/>
          <w:tcMar>
            <w:left w:w="0" w:type="dxa"/>
            <w:right w:w="0" w:type="dxa"/>
          </w:tcMar>
        </w:tcPr>
        <w:p w14:paraId="1FCDB67B" w14:textId="77777777" w:rsidR="008F5BC2" w:rsidRDefault="008F5BC2" w:rsidP="008E0FA0">
          <w:pPr>
            <w:pStyle w:val="Sidfot"/>
          </w:pPr>
        </w:p>
      </w:tc>
    </w:tr>
    <w:bookmarkStart w:id="4" w:name="bkmPageNo"/>
    <w:tr w:rsidR="008F5BC2" w14:paraId="43A186F0" w14:textId="77777777" w:rsidTr="008E0FA0">
      <w:trPr>
        <w:cantSplit/>
        <w:trHeight w:val="283"/>
      </w:trPr>
      <w:tc>
        <w:tcPr>
          <w:tcW w:w="9639" w:type="dxa"/>
          <w:tcMar>
            <w:left w:w="0" w:type="dxa"/>
            <w:right w:w="0" w:type="dxa"/>
          </w:tcMar>
        </w:tcPr>
        <w:p w14:paraId="39B72F62" w14:textId="77777777" w:rsidR="008F5BC2" w:rsidRDefault="00AC0AF7" w:rsidP="00AC0AF7">
          <w:pPr>
            <w:pStyle w:val="Sidnumrering"/>
            <w:framePr w:hSpace="0" w:wrap="auto" w:vAnchor="margin" w:hAnchor="text" w:xAlign="left" w:yAlign="inline"/>
            <w:suppressOverlap w:val="0"/>
          </w:pPr>
          <w:r>
            <w:fldChar w:fldCharType="begin"/>
          </w:r>
          <w:r>
            <w:instrText xml:space="preserve"> PAGE \* MERGEFORMAT </w:instrText>
          </w:r>
          <w:r>
            <w:fldChar w:fldCharType="separate"/>
          </w:r>
          <w:r w:rsidR="00D32EAB">
            <w:rPr>
              <w:noProof/>
            </w:rPr>
            <w:t>2</w:t>
          </w:r>
          <w:r>
            <w:fldChar w:fldCharType="end"/>
          </w:r>
          <w:r>
            <w:t xml:space="preserve"> (</w:t>
          </w:r>
          <w:fldSimple w:instr=" NUMPAGES \* MERGEFORMAT ">
            <w:r w:rsidR="00D32EAB">
              <w:rPr>
                <w:noProof/>
              </w:rPr>
              <w:t>2</w:t>
            </w:r>
          </w:fldSimple>
          <w:r>
            <w:t>)</w:t>
          </w:r>
          <w:bookmarkEnd w:id="4"/>
        </w:p>
      </w:tc>
    </w:tr>
  </w:tbl>
  <w:p w14:paraId="26C271D7" w14:textId="77777777" w:rsidR="008F5BC2" w:rsidRDefault="008F5BC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135" w:tblpY="15253"/>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8F5BC2" w14:paraId="2C1E735B" w14:textId="77777777" w:rsidTr="00455369">
      <w:trPr>
        <w:cantSplit/>
        <w:trHeight w:hRule="exact" w:val="737"/>
      </w:trPr>
      <w:tc>
        <w:tcPr>
          <w:tcW w:w="9639" w:type="dxa"/>
          <w:tcMar>
            <w:left w:w="0" w:type="dxa"/>
            <w:right w:w="0" w:type="dxa"/>
          </w:tcMar>
        </w:tcPr>
        <w:p w14:paraId="14D0DF97" w14:textId="77777777" w:rsidR="008F5BC2" w:rsidRDefault="008F5BC2" w:rsidP="00455369">
          <w:pPr>
            <w:pStyle w:val="Sidfot"/>
          </w:pPr>
        </w:p>
      </w:tc>
    </w:tr>
    <w:tr w:rsidR="008F5BC2" w14:paraId="4C6A92B8" w14:textId="77777777" w:rsidTr="00455369">
      <w:trPr>
        <w:cantSplit/>
        <w:trHeight w:val="283"/>
      </w:trPr>
      <w:tc>
        <w:tcPr>
          <w:tcW w:w="9639" w:type="dxa"/>
          <w:tcMar>
            <w:left w:w="0" w:type="dxa"/>
            <w:right w:w="0" w:type="dxa"/>
          </w:tcMar>
          <w:vAlign w:val="bottom"/>
        </w:tcPr>
        <w:p w14:paraId="273C392F" w14:textId="0169ACFF" w:rsidR="008F5BC2" w:rsidRDefault="007F07BD" w:rsidP="00455369">
          <w:pPr>
            <w:pStyle w:val="Sidfot"/>
          </w:pPr>
          <w:bookmarkStart w:id="6" w:name="bkmFooter"/>
          <w:r>
            <w:t>Svensk Försäkring  Box 24043  104 50 Stockholm  Karlavägen 108  Tel 08-522 785 00  www.svenskforsakring.se</w:t>
          </w:r>
          <w:bookmarkEnd w:id="6"/>
        </w:p>
      </w:tc>
    </w:tr>
  </w:tbl>
  <w:p w14:paraId="2F8B8419" w14:textId="77777777" w:rsidR="008F5BC2" w:rsidRPr="0038209D" w:rsidRDefault="008F5BC2" w:rsidP="0038209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BF99" w14:textId="77777777" w:rsidR="0086675C" w:rsidRDefault="0086675C" w:rsidP="00A75A57">
      <w:pPr>
        <w:spacing w:line="240" w:lineRule="auto"/>
      </w:pPr>
      <w:r>
        <w:separator/>
      </w:r>
    </w:p>
  </w:footnote>
  <w:footnote w:type="continuationSeparator" w:id="0">
    <w:p w14:paraId="630708E9" w14:textId="77777777" w:rsidR="0086675C" w:rsidRDefault="0086675C" w:rsidP="00A75A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66D2" w14:textId="77777777" w:rsidR="007F07BD" w:rsidRDefault="007F07B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625" w:tblpY="625"/>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8F5BC2" w14:paraId="235EFD7A" w14:textId="77777777" w:rsidTr="00455369">
      <w:trPr>
        <w:cantSplit/>
        <w:trHeight w:val="1418"/>
      </w:trPr>
      <w:tc>
        <w:tcPr>
          <w:tcW w:w="4820" w:type="dxa"/>
          <w:tcMar>
            <w:left w:w="0" w:type="dxa"/>
            <w:right w:w="0" w:type="dxa"/>
          </w:tcMar>
        </w:tcPr>
        <w:p w14:paraId="29BBC41B" w14:textId="3DE0AE71" w:rsidR="008F5BC2" w:rsidRDefault="007F07BD" w:rsidP="00455369">
          <w:pPr>
            <w:pStyle w:val="Sidhuvud"/>
          </w:pPr>
          <w:bookmarkStart w:id="3" w:name="bkmLogo2"/>
          <w:bookmarkEnd w:id="3"/>
          <w:r>
            <w:rPr>
              <w:noProof/>
            </w:rPr>
            <w:drawing>
              <wp:inline distT="0" distB="0" distL="0" distR="0" wp14:anchorId="6F90EC74" wp14:editId="65BB442C">
                <wp:extent cx="1078994" cy="405385"/>
                <wp:effectExtent l="0" t="0" r="6985" b="0"/>
                <wp:docPr id="1184940923" name="Bildobjekt 2"/>
                <wp:cNvGraphicFramePr/>
                <a:graphic xmlns:a="http://schemas.openxmlformats.org/drawingml/2006/main">
                  <a:graphicData uri="http://schemas.openxmlformats.org/drawingml/2006/picture">
                    <pic:pic xmlns:pic="http://schemas.openxmlformats.org/drawingml/2006/picture">
                      <pic:nvPicPr>
                        <pic:cNvPr id="1184940923" name=""/>
                        <pic:cNvPicPr/>
                      </pic:nvPicPr>
                      <pic:blipFill>
                        <a:blip r:embed="rId1"/>
                        <a:stretch>
                          <a:fillRect/>
                        </a:stretch>
                      </pic:blipFill>
                      <pic:spPr>
                        <a:xfrm>
                          <a:off x="0" y="0"/>
                          <a:ext cx="1078994" cy="405385"/>
                        </a:xfrm>
                        <a:prstGeom prst="rect">
                          <a:avLst/>
                        </a:prstGeom>
                      </pic:spPr>
                    </pic:pic>
                  </a:graphicData>
                </a:graphic>
              </wp:inline>
            </w:drawing>
          </w:r>
        </w:p>
      </w:tc>
    </w:tr>
  </w:tbl>
  <w:p w14:paraId="0E2EF79B" w14:textId="77777777" w:rsidR="008F5BC2" w:rsidRPr="00F806E1" w:rsidRDefault="008F5BC2" w:rsidP="00F806E1">
    <w:pPr>
      <w:pStyle w:val="Sidhuvud"/>
    </w:pPr>
  </w:p>
  <w:p w14:paraId="3ADDB752" w14:textId="77777777" w:rsidR="008F5BC2" w:rsidRDefault="008F5BC2" w:rsidP="006778F5">
    <w:pPr>
      <w:pStyle w:val="Sidhuvud"/>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A79C" w14:textId="77777777" w:rsidR="008F5BC2" w:rsidRDefault="008F5BC2" w:rsidP="00F26D2A">
    <w:pPr>
      <w:pStyle w:val="Sidhuvud"/>
      <w:jc w:val="right"/>
    </w:pPr>
  </w:p>
  <w:tbl>
    <w:tblPr>
      <w:tblStyle w:val="Tabellrutnt"/>
      <w:tblpPr w:leftFromText="142" w:rightFromText="142" w:vertAnchor="page" w:horzAnchor="page" w:tblpX="625" w:tblpY="625"/>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8F5BC2" w14:paraId="0405C379" w14:textId="77777777" w:rsidTr="00455369">
      <w:trPr>
        <w:cantSplit/>
        <w:trHeight w:val="1418"/>
      </w:trPr>
      <w:tc>
        <w:tcPr>
          <w:tcW w:w="4820" w:type="dxa"/>
          <w:tcMar>
            <w:left w:w="0" w:type="dxa"/>
            <w:right w:w="0" w:type="dxa"/>
          </w:tcMar>
        </w:tcPr>
        <w:p w14:paraId="4D850B0D" w14:textId="38F29A57" w:rsidR="008F5BC2" w:rsidRPr="00917F5D" w:rsidRDefault="007F07BD" w:rsidP="00917F5D">
          <w:pPr>
            <w:pStyle w:val="Sidhuvud"/>
          </w:pPr>
          <w:bookmarkStart w:id="5" w:name="bkmLogo1"/>
          <w:bookmarkEnd w:id="5"/>
          <w:r>
            <w:rPr>
              <w:noProof/>
            </w:rPr>
            <w:drawing>
              <wp:inline distT="0" distB="0" distL="0" distR="0" wp14:anchorId="4E17C748" wp14:editId="51044081">
                <wp:extent cx="1764796" cy="664465"/>
                <wp:effectExtent l="0" t="0" r="6985" b="2540"/>
                <wp:docPr id="1477425054" name="Bildobjekt 1"/>
                <wp:cNvGraphicFramePr/>
                <a:graphic xmlns:a="http://schemas.openxmlformats.org/drawingml/2006/main">
                  <a:graphicData uri="http://schemas.openxmlformats.org/drawingml/2006/picture">
                    <pic:pic xmlns:pic="http://schemas.openxmlformats.org/drawingml/2006/picture">
                      <pic:nvPicPr>
                        <pic:cNvPr id="1477425054" name=""/>
                        <pic:cNvPicPr/>
                      </pic:nvPicPr>
                      <pic:blipFill>
                        <a:blip r:embed="rId1"/>
                        <a:stretch>
                          <a:fillRect/>
                        </a:stretch>
                      </pic:blipFill>
                      <pic:spPr>
                        <a:xfrm>
                          <a:off x="0" y="0"/>
                          <a:ext cx="1764796" cy="664465"/>
                        </a:xfrm>
                        <a:prstGeom prst="rect">
                          <a:avLst/>
                        </a:prstGeom>
                      </pic:spPr>
                    </pic:pic>
                  </a:graphicData>
                </a:graphic>
              </wp:inline>
            </w:drawing>
          </w:r>
        </w:p>
      </w:tc>
    </w:tr>
  </w:tbl>
  <w:p w14:paraId="6C28B2F3" w14:textId="77777777" w:rsidR="008F5BC2" w:rsidRDefault="008F5BC2" w:rsidP="006778F5">
    <w:pPr>
      <w:pStyle w:val="Sidhuvu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BF7"/>
    <w:multiLevelType w:val="multilevel"/>
    <w:tmpl w:val="49722D92"/>
    <w:styleLink w:val="Nummerlista"/>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1" w15:restartNumberingAfterBreak="0">
    <w:nsid w:val="04C52E1A"/>
    <w:multiLevelType w:val="multilevel"/>
    <w:tmpl w:val="A360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65645"/>
    <w:multiLevelType w:val="multilevel"/>
    <w:tmpl w:val="3A38E7AC"/>
    <w:styleLink w:val="Punkterlista"/>
    <w:lvl w:ilvl="0">
      <w:start w:val="1"/>
      <w:numFmt w:val="bullet"/>
      <w:lvlText w:val="●"/>
      <w:lvlJc w:val="left"/>
      <w:pPr>
        <w:tabs>
          <w:tab w:val="num" w:pos="284"/>
        </w:tabs>
        <w:ind w:left="284" w:hanging="284"/>
      </w:pPr>
      <w:rPr>
        <w:rFonts w:ascii="Arial" w:hAnsi="Arial" w:cs="Times New Roman" w:hint="default"/>
        <w:color w:val="auto"/>
        <w:szCs w:val="14"/>
      </w:rPr>
    </w:lvl>
    <w:lvl w:ilvl="1">
      <w:start w:val="1"/>
      <w:numFmt w:val="bullet"/>
      <w:lvlText w:val="-"/>
      <w:lvlJc w:val="left"/>
      <w:pPr>
        <w:tabs>
          <w:tab w:val="num" w:pos="567"/>
        </w:tabs>
        <w:ind w:left="567" w:hanging="283"/>
      </w:pPr>
      <w:rPr>
        <w:rFonts w:ascii="Arial" w:hAnsi="Arial" w:cs="Times New Roman" w:hint="default"/>
        <w:color w:val="auto"/>
        <w:szCs w:val="14"/>
      </w:rPr>
    </w:lvl>
    <w:lvl w:ilvl="2">
      <w:start w:val="1"/>
      <w:numFmt w:val="bullet"/>
      <w:lvlText w:val="-"/>
      <w:lvlJc w:val="left"/>
      <w:pPr>
        <w:tabs>
          <w:tab w:val="num" w:pos="851"/>
        </w:tabs>
        <w:ind w:left="851" w:hanging="284"/>
      </w:pPr>
      <w:rPr>
        <w:rFonts w:ascii="Arial" w:hAnsi="Arial" w:cs="Times New Roman" w:hint="default"/>
        <w:color w:val="auto"/>
        <w:szCs w:val="14"/>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3" w15:restartNumberingAfterBreak="0">
    <w:nsid w:val="0B863710"/>
    <w:multiLevelType w:val="multilevel"/>
    <w:tmpl w:val="B010CA5A"/>
    <w:lvl w:ilvl="0">
      <w:start w:val="1"/>
      <w:numFmt w:val="bullet"/>
      <w:lvlRestart w:val="0"/>
      <w:pStyle w:val="Punktlista"/>
      <w:lvlText w:val=""/>
      <w:lvlJc w:val="left"/>
      <w:pPr>
        <w:tabs>
          <w:tab w:val="num" w:pos="453"/>
        </w:tabs>
        <w:ind w:left="453" w:hanging="453"/>
      </w:pPr>
      <w:rPr>
        <w:rFonts w:ascii="Symbol" w:hAnsi="Symbol" w:hint="default"/>
      </w:rPr>
    </w:lvl>
    <w:lvl w:ilvl="1">
      <w:start w:val="1"/>
      <w:numFmt w:val="bullet"/>
      <w:lvlText w:val="­"/>
      <w:lvlJc w:val="left"/>
      <w:pPr>
        <w:tabs>
          <w:tab w:val="num" w:pos="907"/>
        </w:tabs>
        <w:ind w:left="907" w:hanging="454"/>
      </w:pPr>
      <w:rPr>
        <w:rFonts w:ascii="Verdana" w:hAnsi="Verdana" w:hint="default"/>
      </w:rPr>
    </w:lvl>
    <w:lvl w:ilvl="2">
      <w:start w:val="1"/>
      <w:numFmt w:val="bullet"/>
      <w:lvlText w:val="­"/>
      <w:lvlJc w:val="left"/>
      <w:pPr>
        <w:tabs>
          <w:tab w:val="num" w:pos="1360"/>
        </w:tabs>
        <w:ind w:left="1360" w:hanging="453"/>
      </w:pPr>
      <w:rPr>
        <w:rFonts w:ascii="Verdana" w:hAnsi="Verdana" w:hint="default"/>
      </w:rPr>
    </w:lvl>
    <w:lvl w:ilvl="3">
      <w:start w:val="1"/>
      <w:numFmt w:val="bullet"/>
      <w:lvlText w:val="-"/>
      <w:lvlJc w:val="left"/>
      <w:pPr>
        <w:tabs>
          <w:tab w:val="num" w:pos="1814"/>
        </w:tabs>
        <w:ind w:left="1814" w:hanging="454"/>
      </w:pPr>
      <w:rPr>
        <w:rFonts w:ascii="Arial" w:hAnsi="Arial" w:cs="Arial"/>
      </w:rPr>
    </w:lvl>
    <w:lvl w:ilvl="4">
      <w:start w:val="1"/>
      <w:numFmt w:val="bullet"/>
      <w:lvlText w:val="-"/>
      <w:lvlJc w:val="left"/>
      <w:pPr>
        <w:tabs>
          <w:tab w:val="num" w:pos="2267"/>
        </w:tabs>
        <w:ind w:left="2267" w:hanging="453"/>
      </w:pPr>
      <w:rPr>
        <w:rFonts w:ascii="Verdana" w:hAnsi="Verdana" w:hint="default"/>
      </w:rPr>
    </w:lvl>
    <w:lvl w:ilvl="5">
      <w:start w:val="1"/>
      <w:numFmt w:val="bullet"/>
      <w:lvlText w:val="-"/>
      <w:lvlJc w:val="left"/>
      <w:pPr>
        <w:tabs>
          <w:tab w:val="num" w:pos="2720"/>
        </w:tabs>
        <w:ind w:left="2720" w:hanging="453"/>
      </w:pPr>
      <w:rPr>
        <w:rFonts w:ascii="Verdana" w:hAnsi="Verdana" w:hint="default"/>
      </w:rPr>
    </w:lvl>
    <w:lvl w:ilvl="6">
      <w:start w:val="1"/>
      <w:numFmt w:val="bullet"/>
      <w:lvlText w:val="-"/>
      <w:lvlJc w:val="left"/>
      <w:pPr>
        <w:tabs>
          <w:tab w:val="num" w:pos="3174"/>
        </w:tabs>
        <w:ind w:left="3174" w:hanging="454"/>
      </w:pPr>
      <w:rPr>
        <w:rFonts w:ascii="Verdana" w:hAnsi="Verdana" w:hint="default"/>
      </w:rPr>
    </w:lvl>
    <w:lvl w:ilvl="7">
      <w:start w:val="1"/>
      <w:numFmt w:val="bullet"/>
      <w:lvlText w:val="-"/>
      <w:lvlJc w:val="left"/>
      <w:pPr>
        <w:tabs>
          <w:tab w:val="num" w:pos="3627"/>
        </w:tabs>
        <w:ind w:left="3627" w:hanging="453"/>
      </w:pPr>
      <w:rPr>
        <w:rFonts w:ascii="Verdana" w:hAnsi="Verdana" w:hint="default"/>
      </w:rPr>
    </w:lvl>
    <w:lvl w:ilvl="8">
      <w:start w:val="1"/>
      <w:numFmt w:val="bullet"/>
      <w:lvlText w:val="-"/>
      <w:lvlJc w:val="left"/>
      <w:pPr>
        <w:tabs>
          <w:tab w:val="num" w:pos="4081"/>
        </w:tabs>
        <w:ind w:left="4081" w:hanging="454"/>
      </w:pPr>
      <w:rPr>
        <w:rFonts w:ascii="Verdana" w:hAnsi="Verdana" w:hint="default"/>
      </w:rPr>
    </w:lvl>
  </w:abstractNum>
  <w:abstractNum w:abstractNumId="4" w15:restartNumberingAfterBreak="0">
    <w:nsid w:val="156C177B"/>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5F02B1"/>
    <w:multiLevelType w:val="hybridMultilevel"/>
    <w:tmpl w:val="3CF02C02"/>
    <w:lvl w:ilvl="0" w:tplc="C8E23B92">
      <w:start w:val="1"/>
      <w:numFmt w:val="decimal"/>
      <w:pStyle w:val="Numreradlistamal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2D8419C"/>
    <w:multiLevelType w:val="multilevel"/>
    <w:tmpl w:val="81D0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9676A2"/>
    <w:multiLevelType w:val="multilevel"/>
    <w:tmpl w:val="972619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8" w15:restartNumberingAfterBreak="0">
    <w:nsid w:val="3C7A6152"/>
    <w:multiLevelType w:val="hybridMultilevel"/>
    <w:tmpl w:val="0FD48C1C"/>
    <w:lvl w:ilvl="0" w:tplc="DFE6FDC4">
      <w:start w:val="1"/>
      <w:numFmt w:val="bullet"/>
      <w:lvlText w:val="-"/>
      <w:lvlJc w:val="left"/>
      <w:pPr>
        <w:ind w:left="360" w:hanging="360"/>
      </w:pPr>
      <w:rPr>
        <w:rFonts w:ascii="Verdana" w:hAnsi="Verdan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6003B42"/>
    <w:multiLevelType w:val="multilevel"/>
    <w:tmpl w:val="32A0A6BE"/>
    <w:styleLink w:val="CompanyListBullet"/>
    <w:lvl w:ilvl="0">
      <w:start w:val="1"/>
      <w:numFmt w:val="bullet"/>
      <w:lvlRestart w:val="0"/>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5)"/>
      <w:lvlJc w:val="left"/>
      <w:pPr>
        <w:tabs>
          <w:tab w:val="num" w:pos="2267"/>
        </w:tabs>
        <w:ind w:left="2267" w:hanging="453"/>
      </w:pPr>
    </w:lvl>
    <w:lvl w:ilvl="5">
      <w:start w:val="1"/>
      <w:numFmt w:val="lowerRoman"/>
      <w:lvlText w:val="(%6)"/>
      <w:lvlJc w:val="left"/>
      <w:pPr>
        <w:tabs>
          <w:tab w:val="num" w:pos="2720"/>
        </w:tabs>
        <w:ind w:left="2720" w:hanging="453"/>
      </w:pPr>
    </w:lvl>
    <w:lvl w:ilvl="6">
      <w:start w:val="1"/>
      <w:numFmt w:val="decimal"/>
      <w:lvlText w:val="%7."/>
      <w:lvlJc w:val="left"/>
      <w:pPr>
        <w:tabs>
          <w:tab w:val="num" w:pos="3174"/>
        </w:tabs>
        <w:ind w:left="3174" w:hanging="454"/>
      </w:pPr>
    </w:lvl>
    <w:lvl w:ilvl="7">
      <w:start w:val="1"/>
      <w:numFmt w:val="lowerLetter"/>
      <w:lvlText w:val="%8."/>
      <w:lvlJc w:val="left"/>
      <w:pPr>
        <w:tabs>
          <w:tab w:val="num" w:pos="3627"/>
        </w:tabs>
        <w:ind w:left="3627" w:hanging="453"/>
      </w:pPr>
    </w:lvl>
    <w:lvl w:ilvl="8">
      <w:start w:val="1"/>
      <w:numFmt w:val="lowerRoman"/>
      <w:lvlText w:val="%9."/>
      <w:lvlJc w:val="left"/>
      <w:pPr>
        <w:tabs>
          <w:tab w:val="num" w:pos="4081"/>
        </w:tabs>
        <w:ind w:left="4081" w:hanging="454"/>
      </w:pPr>
    </w:lvl>
  </w:abstractNum>
  <w:abstractNum w:abstractNumId="10" w15:restartNumberingAfterBreak="0">
    <w:nsid w:val="53506E3F"/>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A05003"/>
    <w:multiLevelType w:val="multilevel"/>
    <w:tmpl w:val="4C70C5B2"/>
    <w:styleLink w:val="CompanyList"/>
    <w:lvl w:ilvl="0">
      <w:start w:val="1"/>
      <w:numFmt w:val="decimal"/>
      <w:lvlRestart w:val="0"/>
      <w:lvlText w:val="%1."/>
      <w:lvlJc w:val="left"/>
      <w:pPr>
        <w:tabs>
          <w:tab w:val="num" w:pos="453"/>
        </w:tabs>
        <w:ind w:left="453" w:hanging="453"/>
      </w:pPr>
    </w:lvl>
    <w:lvl w:ilvl="1">
      <w:start w:val="1"/>
      <w:numFmt w:val="lowerLetter"/>
      <w:lvlText w:val="%2)"/>
      <w:lvlJc w:val="left"/>
      <w:pPr>
        <w:tabs>
          <w:tab w:val="num" w:pos="907"/>
        </w:tabs>
        <w:ind w:left="907" w:hanging="454"/>
      </w:pPr>
    </w:lvl>
    <w:lvl w:ilvl="2">
      <w:start w:val="1"/>
      <w:numFmt w:val="lowerRoman"/>
      <w:lvlText w:val="%3)"/>
      <w:lvlJc w:val="left"/>
      <w:pPr>
        <w:tabs>
          <w:tab w:val="num" w:pos="1360"/>
        </w:tabs>
        <w:ind w:left="1360" w:hanging="453"/>
      </w:pPr>
    </w:lvl>
    <w:lvl w:ilvl="3">
      <w:start w:val="1"/>
      <w:numFmt w:val="decimal"/>
      <w:lvlText w:val="%4"/>
      <w:lvlJc w:val="left"/>
      <w:pPr>
        <w:tabs>
          <w:tab w:val="num" w:pos="1814"/>
        </w:tabs>
        <w:ind w:left="1814" w:hanging="454"/>
      </w:pPr>
    </w:lvl>
    <w:lvl w:ilvl="4">
      <w:start w:val="1"/>
      <w:numFmt w:val="lowerLetter"/>
      <w:lvlText w:val="(%5)"/>
      <w:lvlJc w:val="left"/>
      <w:pPr>
        <w:tabs>
          <w:tab w:val="num" w:pos="2267"/>
        </w:tabs>
        <w:ind w:left="2267" w:hanging="453"/>
      </w:pPr>
    </w:lvl>
    <w:lvl w:ilvl="5">
      <w:start w:val="1"/>
      <w:numFmt w:val="lowerRoman"/>
      <w:lvlText w:val="(%6)"/>
      <w:lvlJc w:val="left"/>
      <w:pPr>
        <w:tabs>
          <w:tab w:val="num" w:pos="2720"/>
        </w:tabs>
        <w:ind w:left="2720" w:hanging="453"/>
      </w:pPr>
    </w:lvl>
    <w:lvl w:ilvl="6">
      <w:start w:val="1"/>
      <w:numFmt w:val="decimal"/>
      <w:lvlText w:val="%7."/>
      <w:lvlJc w:val="left"/>
      <w:pPr>
        <w:tabs>
          <w:tab w:val="num" w:pos="3174"/>
        </w:tabs>
        <w:ind w:left="3174" w:hanging="454"/>
      </w:pPr>
    </w:lvl>
    <w:lvl w:ilvl="7">
      <w:start w:val="1"/>
      <w:numFmt w:val="lowerLetter"/>
      <w:lvlText w:val="%8."/>
      <w:lvlJc w:val="left"/>
      <w:pPr>
        <w:tabs>
          <w:tab w:val="num" w:pos="3627"/>
        </w:tabs>
        <w:ind w:left="3627" w:hanging="453"/>
      </w:pPr>
    </w:lvl>
    <w:lvl w:ilvl="8">
      <w:start w:val="1"/>
      <w:numFmt w:val="lowerRoman"/>
      <w:lvlText w:val="%9."/>
      <w:lvlJc w:val="left"/>
      <w:pPr>
        <w:tabs>
          <w:tab w:val="num" w:pos="4081"/>
        </w:tabs>
        <w:ind w:left="4081" w:hanging="454"/>
      </w:pPr>
    </w:lvl>
  </w:abstractNum>
  <w:abstractNum w:abstractNumId="12" w15:restartNumberingAfterBreak="0">
    <w:nsid w:val="69DA2001"/>
    <w:multiLevelType w:val="multilevel"/>
    <w:tmpl w:val="DC12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8839F2"/>
    <w:multiLevelType w:val="multilevel"/>
    <w:tmpl w:val="A6466984"/>
    <w:lvl w:ilvl="0">
      <w:start w:val="1"/>
      <w:numFmt w:val="bullet"/>
      <w:pStyle w:val="Punktlistamall"/>
      <w:lvlText w:val="●"/>
      <w:lvlJc w:val="left"/>
      <w:pPr>
        <w:ind w:left="454" w:hanging="454"/>
      </w:pPr>
      <w:rPr>
        <w:rFonts w:ascii="Arial" w:hAnsi="Arial" w:hint="default"/>
        <w:color w:val="auto"/>
        <w:szCs w:val="14"/>
      </w:rPr>
    </w:lvl>
    <w:lvl w:ilvl="1">
      <w:start w:val="1"/>
      <w:numFmt w:val="bullet"/>
      <w:lvlText w:val="-"/>
      <w:lvlJc w:val="left"/>
      <w:pPr>
        <w:ind w:left="907" w:hanging="453"/>
      </w:pPr>
      <w:rPr>
        <w:rFonts w:ascii="Arial" w:hAnsi="Arial" w:hint="default"/>
        <w:color w:val="auto"/>
        <w:szCs w:val="14"/>
      </w:rPr>
    </w:lvl>
    <w:lvl w:ilvl="2">
      <w:start w:val="1"/>
      <w:numFmt w:val="bullet"/>
      <w:lvlText w:val="-"/>
      <w:lvlJc w:val="left"/>
      <w:pPr>
        <w:ind w:left="1361" w:hanging="454"/>
      </w:pPr>
      <w:rPr>
        <w:rFonts w:ascii="Arial" w:hAnsi="Arial" w:hint="default"/>
        <w:color w:val="auto"/>
        <w:szCs w:val="14"/>
      </w:rPr>
    </w:lvl>
    <w:lvl w:ilvl="3">
      <w:start w:val="1"/>
      <w:numFmt w:val="bullet"/>
      <w:lvlText w:val="-"/>
      <w:lvlJc w:val="left"/>
      <w:pPr>
        <w:ind w:left="1701" w:hanging="340"/>
      </w:pPr>
      <w:rPr>
        <w:rFonts w:ascii="Arial" w:hAnsi="Arial"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14" w15:restartNumberingAfterBreak="0">
    <w:nsid w:val="70BD65A2"/>
    <w:multiLevelType w:val="multilevel"/>
    <w:tmpl w:val="AF2CD90A"/>
    <w:lvl w:ilvl="0">
      <w:start w:val="1"/>
      <w:numFmt w:val="decimal"/>
      <w:lvlRestart w:val="0"/>
      <w:pStyle w:val="Rubrik1Nr"/>
      <w:lvlText w:val="%1"/>
      <w:lvlJc w:val="left"/>
      <w:pPr>
        <w:ind w:left="851" w:hanging="851"/>
      </w:pPr>
      <w:rPr>
        <w:rFonts w:hint="default"/>
      </w:rPr>
    </w:lvl>
    <w:lvl w:ilvl="1">
      <w:start w:val="1"/>
      <w:numFmt w:val="decimal"/>
      <w:pStyle w:val="Rubrik2Nr"/>
      <w:lvlText w:val="%1.%2"/>
      <w:lvlJc w:val="left"/>
      <w:pPr>
        <w:ind w:left="851" w:hanging="851"/>
      </w:pPr>
      <w:rPr>
        <w:rFonts w:hint="default"/>
      </w:rPr>
    </w:lvl>
    <w:lvl w:ilvl="2">
      <w:start w:val="1"/>
      <w:numFmt w:val="decimal"/>
      <w:pStyle w:val="Rubrik3Nr"/>
      <w:lvlText w:val="%1.%2.%3"/>
      <w:lvlJc w:val="left"/>
      <w:pPr>
        <w:ind w:left="851" w:hanging="851"/>
      </w:pPr>
      <w:rPr>
        <w:rFonts w:hint="default"/>
      </w:rPr>
    </w:lvl>
    <w:lvl w:ilvl="3">
      <w:start w:val="1"/>
      <w:numFmt w:val="decimal"/>
      <w:pStyle w:val="Rubrik4Nr"/>
      <w:lvlText w:val="%1.%2.%3.%4"/>
      <w:lvlJc w:val="left"/>
      <w:pPr>
        <w:ind w:left="851" w:hanging="851"/>
      </w:pPr>
      <w:rPr>
        <w:rFonts w:hint="default"/>
      </w:rPr>
    </w:lvl>
    <w:lvl w:ilvl="4">
      <w:start w:val="1"/>
      <w:numFmt w:val="decimal"/>
      <w:lvlText w:val="%1.%2.%3.%4.%5"/>
      <w:lvlJc w:val="left"/>
      <w:pPr>
        <w:tabs>
          <w:tab w:val="num" w:pos="454"/>
        </w:tabs>
        <w:ind w:left="851" w:hanging="851"/>
      </w:pPr>
      <w:rPr>
        <w:rFonts w:hint="default"/>
      </w:rPr>
    </w:lvl>
    <w:lvl w:ilvl="5">
      <w:start w:val="1"/>
      <w:numFmt w:val="decimal"/>
      <w:lvlText w:val="%1.%2.%3.%4.%5.%6"/>
      <w:lvlJc w:val="left"/>
      <w:pPr>
        <w:tabs>
          <w:tab w:val="num" w:pos="454"/>
        </w:tabs>
        <w:ind w:left="851" w:hanging="851"/>
      </w:pPr>
      <w:rPr>
        <w:rFonts w:hint="default"/>
      </w:rPr>
    </w:lvl>
    <w:lvl w:ilvl="6">
      <w:start w:val="1"/>
      <w:numFmt w:val="decimal"/>
      <w:lvlText w:val="%1.%2.%3.%4.%5.%6.%7"/>
      <w:lvlJc w:val="left"/>
      <w:pPr>
        <w:tabs>
          <w:tab w:val="num" w:pos="454"/>
        </w:tabs>
        <w:ind w:left="851" w:hanging="851"/>
      </w:pPr>
      <w:rPr>
        <w:rFonts w:hint="default"/>
      </w:rPr>
    </w:lvl>
    <w:lvl w:ilvl="7">
      <w:start w:val="1"/>
      <w:numFmt w:val="decimal"/>
      <w:lvlText w:val="%1.%2.%3.%4.%5.%6.%7.%8"/>
      <w:lvlJc w:val="left"/>
      <w:pPr>
        <w:tabs>
          <w:tab w:val="num" w:pos="454"/>
        </w:tabs>
        <w:ind w:left="851" w:hanging="851"/>
      </w:pPr>
      <w:rPr>
        <w:rFonts w:hint="default"/>
      </w:rPr>
    </w:lvl>
    <w:lvl w:ilvl="8">
      <w:start w:val="1"/>
      <w:numFmt w:val="decimal"/>
      <w:lvlText w:val="%1.%2.%3.%4.%5.%6.%7.%8.%9"/>
      <w:lvlJc w:val="left"/>
      <w:pPr>
        <w:tabs>
          <w:tab w:val="num" w:pos="454"/>
        </w:tabs>
        <w:ind w:left="851" w:hanging="851"/>
      </w:pPr>
      <w:rPr>
        <w:rFonts w:hint="default"/>
      </w:rPr>
    </w:lvl>
  </w:abstractNum>
  <w:num w:numId="1" w16cid:durableId="1407653062">
    <w:abstractNumId w:val="0"/>
  </w:num>
  <w:num w:numId="2" w16cid:durableId="1892571735">
    <w:abstractNumId w:val="2"/>
  </w:num>
  <w:num w:numId="3" w16cid:durableId="1815248244">
    <w:abstractNumId w:val="9"/>
  </w:num>
  <w:num w:numId="4" w16cid:durableId="521362892">
    <w:abstractNumId w:val="11"/>
  </w:num>
  <w:num w:numId="5" w16cid:durableId="984355533">
    <w:abstractNumId w:val="3"/>
  </w:num>
  <w:num w:numId="6" w16cid:durableId="1949241978">
    <w:abstractNumId w:val="14"/>
  </w:num>
  <w:num w:numId="7" w16cid:durableId="398525188">
    <w:abstractNumId w:val="7"/>
  </w:num>
  <w:num w:numId="8" w16cid:durableId="921715016">
    <w:abstractNumId w:val="5"/>
  </w:num>
  <w:num w:numId="9" w16cid:durableId="662125965">
    <w:abstractNumId w:val="8"/>
  </w:num>
  <w:num w:numId="10" w16cid:durableId="826820389">
    <w:abstractNumId w:val="13"/>
  </w:num>
  <w:num w:numId="11" w16cid:durableId="243688953">
    <w:abstractNumId w:val="14"/>
  </w:num>
  <w:num w:numId="12" w16cid:durableId="2120174727">
    <w:abstractNumId w:val="14"/>
  </w:num>
  <w:num w:numId="13" w16cid:durableId="751045772">
    <w:abstractNumId w:val="14"/>
  </w:num>
  <w:num w:numId="14" w16cid:durableId="724455824">
    <w:abstractNumId w:val="14"/>
  </w:num>
  <w:num w:numId="15" w16cid:durableId="1308364006">
    <w:abstractNumId w:val="14"/>
  </w:num>
  <w:num w:numId="16" w16cid:durableId="8724404">
    <w:abstractNumId w:val="14"/>
  </w:num>
  <w:num w:numId="17" w16cid:durableId="1491168239">
    <w:abstractNumId w:val="14"/>
  </w:num>
  <w:num w:numId="18" w16cid:durableId="2063825324">
    <w:abstractNumId w:val="14"/>
  </w:num>
  <w:num w:numId="19" w16cid:durableId="475686274">
    <w:abstractNumId w:val="10"/>
  </w:num>
  <w:num w:numId="20" w16cid:durableId="270669261">
    <w:abstractNumId w:val="4"/>
  </w:num>
  <w:num w:numId="21" w16cid:durableId="705564284">
    <w:abstractNumId w:val="1"/>
  </w:num>
  <w:num w:numId="22" w16cid:durableId="1289048684">
    <w:abstractNumId w:val="12"/>
  </w:num>
  <w:num w:numId="23" w16cid:durableId="29687914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Language" w:val="Swedish"/>
    <w:docVar w:name="DVarPageNumberInserted" w:val="Yes"/>
  </w:docVars>
  <w:rsids>
    <w:rsidRoot w:val="007F07BD"/>
    <w:rsid w:val="00004663"/>
    <w:rsid w:val="00006808"/>
    <w:rsid w:val="00006CAE"/>
    <w:rsid w:val="00013340"/>
    <w:rsid w:val="00015318"/>
    <w:rsid w:val="00021CC3"/>
    <w:rsid w:val="00024843"/>
    <w:rsid w:val="000260A2"/>
    <w:rsid w:val="00042344"/>
    <w:rsid w:val="00056A56"/>
    <w:rsid w:val="000621CB"/>
    <w:rsid w:val="00062267"/>
    <w:rsid w:val="00062D55"/>
    <w:rsid w:val="00065E16"/>
    <w:rsid w:val="00070672"/>
    <w:rsid w:val="00070D62"/>
    <w:rsid w:val="00074B9C"/>
    <w:rsid w:val="0007528F"/>
    <w:rsid w:val="00081238"/>
    <w:rsid w:val="000813D3"/>
    <w:rsid w:val="00084C99"/>
    <w:rsid w:val="00094E5C"/>
    <w:rsid w:val="000A2454"/>
    <w:rsid w:val="000A42BE"/>
    <w:rsid w:val="000A469B"/>
    <w:rsid w:val="000A5062"/>
    <w:rsid w:val="000A70E4"/>
    <w:rsid w:val="000C0BB3"/>
    <w:rsid w:val="000C6115"/>
    <w:rsid w:val="000C6A6D"/>
    <w:rsid w:val="000C76FF"/>
    <w:rsid w:val="000D0EA6"/>
    <w:rsid w:val="000E157B"/>
    <w:rsid w:val="000E280A"/>
    <w:rsid w:val="0011150A"/>
    <w:rsid w:val="00112ABB"/>
    <w:rsid w:val="00115F07"/>
    <w:rsid w:val="00121043"/>
    <w:rsid w:val="00122123"/>
    <w:rsid w:val="00124B7E"/>
    <w:rsid w:val="00126E13"/>
    <w:rsid w:val="0013381B"/>
    <w:rsid w:val="00141850"/>
    <w:rsid w:val="0014467C"/>
    <w:rsid w:val="00145E4F"/>
    <w:rsid w:val="00152F1B"/>
    <w:rsid w:val="00156724"/>
    <w:rsid w:val="001568E3"/>
    <w:rsid w:val="00160699"/>
    <w:rsid w:val="00163D8F"/>
    <w:rsid w:val="00190469"/>
    <w:rsid w:val="00192943"/>
    <w:rsid w:val="00195457"/>
    <w:rsid w:val="001A44EB"/>
    <w:rsid w:val="001A480F"/>
    <w:rsid w:val="001B7B69"/>
    <w:rsid w:val="001C3F2F"/>
    <w:rsid w:val="001E5CF6"/>
    <w:rsid w:val="001F0797"/>
    <w:rsid w:val="001F16AE"/>
    <w:rsid w:val="001F78D9"/>
    <w:rsid w:val="002211C6"/>
    <w:rsid w:val="00222C32"/>
    <w:rsid w:val="002249D9"/>
    <w:rsid w:val="0023520A"/>
    <w:rsid w:val="002375F4"/>
    <w:rsid w:val="00240078"/>
    <w:rsid w:val="0024272E"/>
    <w:rsid w:val="00242750"/>
    <w:rsid w:val="00243209"/>
    <w:rsid w:val="00243897"/>
    <w:rsid w:val="00244A2D"/>
    <w:rsid w:val="00246B50"/>
    <w:rsid w:val="00250481"/>
    <w:rsid w:val="00250C7D"/>
    <w:rsid w:val="002538ED"/>
    <w:rsid w:val="002572CF"/>
    <w:rsid w:val="002672C7"/>
    <w:rsid w:val="00282AB7"/>
    <w:rsid w:val="00284C34"/>
    <w:rsid w:val="00294807"/>
    <w:rsid w:val="002968E7"/>
    <w:rsid w:val="002A08EB"/>
    <w:rsid w:val="002A09A7"/>
    <w:rsid w:val="002A24ED"/>
    <w:rsid w:val="002A5B8C"/>
    <w:rsid w:val="002B70E2"/>
    <w:rsid w:val="002C726F"/>
    <w:rsid w:val="002D025C"/>
    <w:rsid w:val="002D3BB0"/>
    <w:rsid w:val="002E0F72"/>
    <w:rsid w:val="002E5A93"/>
    <w:rsid w:val="002F008B"/>
    <w:rsid w:val="00303B5C"/>
    <w:rsid w:val="00305ED7"/>
    <w:rsid w:val="00305F56"/>
    <w:rsid w:val="003105BE"/>
    <w:rsid w:val="003146F8"/>
    <w:rsid w:val="00331889"/>
    <w:rsid w:val="00333C16"/>
    <w:rsid w:val="00336388"/>
    <w:rsid w:val="00343907"/>
    <w:rsid w:val="0035032E"/>
    <w:rsid w:val="0035271F"/>
    <w:rsid w:val="003537FA"/>
    <w:rsid w:val="00353945"/>
    <w:rsid w:val="00354D0B"/>
    <w:rsid w:val="0036111B"/>
    <w:rsid w:val="00363828"/>
    <w:rsid w:val="00367AF1"/>
    <w:rsid w:val="00370487"/>
    <w:rsid w:val="00371215"/>
    <w:rsid w:val="00371F21"/>
    <w:rsid w:val="0038209D"/>
    <w:rsid w:val="0038364A"/>
    <w:rsid w:val="00384867"/>
    <w:rsid w:val="003866CF"/>
    <w:rsid w:val="00387A92"/>
    <w:rsid w:val="003A20C6"/>
    <w:rsid w:val="003A6908"/>
    <w:rsid w:val="003A6C85"/>
    <w:rsid w:val="003B31C5"/>
    <w:rsid w:val="003B38B7"/>
    <w:rsid w:val="003B3CE2"/>
    <w:rsid w:val="003D5710"/>
    <w:rsid w:val="003D5DAA"/>
    <w:rsid w:val="003D7D8A"/>
    <w:rsid w:val="003E6176"/>
    <w:rsid w:val="003E7A7C"/>
    <w:rsid w:val="003F5AF9"/>
    <w:rsid w:val="00400B49"/>
    <w:rsid w:val="00401232"/>
    <w:rsid w:val="0040165C"/>
    <w:rsid w:val="00406B47"/>
    <w:rsid w:val="00407425"/>
    <w:rsid w:val="00412D83"/>
    <w:rsid w:val="0041700D"/>
    <w:rsid w:val="004173B7"/>
    <w:rsid w:val="00423F47"/>
    <w:rsid w:val="0042428C"/>
    <w:rsid w:val="004418FB"/>
    <w:rsid w:val="00445164"/>
    <w:rsid w:val="00446131"/>
    <w:rsid w:val="0045394C"/>
    <w:rsid w:val="00454243"/>
    <w:rsid w:val="00455369"/>
    <w:rsid w:val="00461383"/>
    <w:rsid w:val="00462ADB"/>
    <w:rsid w:val="00466058"/>
    <w:rsid w:val="004701A8"/>
    <w:rsid w:val="004939F4"/>
    <w:rsid w:val="00495DE3"/>
    <w:rsid w:val="004A08D5"/>
    <w:rsid w:val="004A1B7E"/>
    <w:rsid w:val="004A7CF0"/>
    <w:rsid w:val="004B341D"/>
    <w:rsid w:val="004B4A74"/>
    <w:rsid w:val="004B6F0E"/>
    <w:rsid w:val="004B7006"/>
    <w:rsid w:val="004C4FB2"/>
    <w:rsid w:val="004C5021"/>
    <w:rsid w:val="004D7177"/>
    <w:rsid w:val="004E3777"/>
    <w:rsid w:val="004E3D13"/>
    <w:rsid w:val="004E658A"/>
    <w:rsid w:val="004F46EF"/>
    <w:rsid w:val="004F5C67"/>
    <w:rsid w:val="004F74A3"/>
    <w:rsid w:val="00503511"/>
    <w:rsid w:val="00504518"/>
    <w:rsid w:val="00506BD0"/>
    <w:rsid w:val="00507476"/>
    <w:rsid w:val="005129C4"/>
    <w:rsid w:val="0052210B"/>
    <w:rsid w:val="005368B1"/>
    <w:rsid w:val="00541BFF"/>
    <w:rsid w:val="00542D33"/>
    <w:rsid w:val="005463F2"/>
    <w:rsid w:val="00555EFB"/>
    <w:rsid w:val="00560B1D"/>
    <w:rsid w:val="00565F88"/>
    <w:rsid w:val="00572ADC"/>
    <w:rsid w:val="00573B78"/>
    <w:rsid w:val="00580ED0"/>
    <w:rsid w:val="00584002"/>
    <w:rsid w:val="005931C7"/>
    <w:rsid w:val="005A3BFC"/>
    <w:rsid w:val="005C2355"/>
    <w:rsid w:val="005C6A5E"/>
    <w:rsid w:val="005D09A1"/>
    <w:rsid w:val="005D5BC0"/>
    <w:rsid w:val="005F1EDD"/>
    <w:rsid w:val="005F306C"/>
    <w:rsid w:val="005F3519"/>
    <w:rsid w:val="005F4F72"/>
    <w:rsid w:val="006020B2"/>
    <w:rsid w:val="00602F7E"/>
    <w:rsid w:val="0060351E"/>
    <w:rsid w:val="006043AC"/>
    <w:rsid w:val="00605B36"/>
    <w:rsid w:val="00605B95"/>
    <w:rsid w:val="00616206"/>
    <w:rsid w:val="006171E1"/>
    <w:rsid w:val="00617D2E"/>
    <w:rsid w:val="00620345"/>
    <w:rsid w:val="00634F14"/>
    <w:rsid w:val="00635DC1"/>
    <w:rsid w:val="00644CBB"/>
    <w:rsid w:val="0064669E"/>
    <w:rsid w:val="00654D7A"/>
    <w:rsid w:val="00655733"/>
    <w:rsid w:val="006578CA"/>
    <w:rsid w:val="00660CE5"/>
    <w:rsid w:val="006626AE"/>
    <w:rsid w:val="00671394"/>
    <w:rsid w:val="006764DC"/>
    <w:rsid w:val="006766DE"/>
    <w:rsid w:val="006768BA"/>
    <w:rsid w:val="00677728"/>
    <w:rsid w:val="006778F5"/>
    <w:rsid w:val="006815AC"/>
    <w:rsid w:val="00682A87"/>
    <w:rsid w:val="00683051"/>
    <w:rsid w:val="00686342"/>
    <w:rsid w:val="006876FC"/>
    <w:rsid w:val="00696C2D"/>
    <w:rsid w:val="00697507"/>
    <w:rsid w:val="006A04F2"/>
    <w:rsid w:val="006A2ECB"/>
    <w:rsid w:val="006A49E8"/>
    <w:rsid w:val="006A4C1E"/>
    <w:rsid w:val="006A632E"/>
    <w:rsid w:val="006A74A6"/>
    <w:rsid w:val="006A7A68"/>
    <w:rsid w:val="006B1459"/>
    <w:rsid w:val="006B23ED"/>
    <w:rsid w:val="006B5B45"/>
    <w:rsid w:val="006B6114"/>
    <w:rsid w:val="006B7672"/>
    <w:rsid w:val="006C6EA8"/>
    <w:rsid w:val="006D0AEF"/>
    <w:rsid w:val="006D2A5F"/>
    <w:rsid w:val="006D78D7"/>
    <w:rsid w:val="006D7B38"/>
    <w:rsid w:val="006E1185"/>
    <w:rsid w:val="006E3ACC"/>
    <w:rsid w:val="006E5169"/>
    <w:rsid w:val="006F00EF"/>
    <w:rsid w:val="006F304E"/>
    <w:rsid w:val="006F3D21"/>
    <w:rsid w:val="006F5A81"/>
    <w:rsid w:val="006F5D25"/>
    <w:rsid w:val="006F6580"/>
    <w:rsid w:val="006F7170"/>
    <w:rsid w:val="007047F7"/>
    <w:rsid w:val="007064A6"/>
    <w:rsid w:val="00711D92"/>
    <w:rsid w:val="00734C9A"/>
    <w:rsid w:val="00737D1A"/>
    <w:rsid w:val="00743049"/>
    <w:rsid w:val="007442E6"/>
    <w:rsid w:val="00750870"/>
    <w:rsid w:val="00752282"/>
    <w:rsid w:val="00755566"/>
    <w:rsid w:val="00760E22"/>
    <w:rsid w:val="00761622"/>
    <w:rsid w:val="00763A9F"/>
    <w:rsid w:val="007725AF"/>
    <w:rsid w:val="0078210B"/>
    <w:rsid w:val="00783D16"/>
    <w:rsid w:val="007A0BA9"/>
    <w:rsid w:val="007A22B9"/>
    <w:rsid w:val="007A37E8"/>
    <w:rsid w:val="007A4B52"/>
    <w:rsid w:val="007A5882"/>
    <w:rsid w:val="007A7545"/>
    <w:rsid w:val="007B09C9"/>
    <w:rsid w:val="007B320D"/>
    <w:rsid w:val="007B61E7"/>
    <w:rsid w:val="007B7A95"/>
    <w:rsid w:val="007C68BE"/>
    <w:rsid w:val="007D1F16"/>
    <w:rsid w:val="007D27AD"/>
    <w:rsid w:val="007D3820"/>
    <w:rsid w:val="007D72BA"/>
    <w:rsid w:val="007E1A90"/>
    <w:rsid w:val="007E2CA3"/>
    <w:rsid w:val="007F07BD"/>
    <w:rsid w:val="007F353D"/>
    <w:rsid w:val="007F4F03"/>
    <w:rsid w:val="00804CF4"/>
    <w:rsid w:val="00806486"/>
    <w:rsid w:val="00806BCE"/>
    <w:rsid w:val="00811348"/>
    <w:rsid w:val="00811D31"/>
    <w:rsid w:val="00811FB3"/>
    <w:rsid w:val="00825BF0"/>
    <w:rsid w:val="00830DD7"/>
    <w:rsid w:val="00831F09"/>
    <w:rsid w:val="008431A0"/>
    <w:rsid w:val="008462B1"/>
    <w:rsid w:val="00846548"/>
    <w:rsid w:val="008501C5"/>
    <w:rsid w:val="008547DE"/>
    <w:rsid w:val="008552B2"/>
    <w:rsid w:val="00863279"/>
    <w:rsid w:val="008656B3"/>
    <w:rsid w:val="0086675C"/>
    <w:rsid w:val="008719A3"/>
    <w:rsid w:val="008722CA"/>
    <w:rsid w:val="00890EE1"/>
    <w:rsid w:val="008927B2"/>
    <w:rsid w:val="008973F0"/>
    <w:rsid w:val="008A01CC"/>
    <w:rsid w:val="008C4532"/>
    <w:rsid w:val="008C7727"/>
    <w:rsid w:val="008D1176"/>
    <w:rsid w:val="008D44E0"/>
    <w:rsid w:val="008E0FA0"/>
    <w:rsid w:val="008E28EA"/>
    <w:rsid w:val="008E3CF5"/>
    <w:rsid w:val="008E41D1"/>
    <w:rsid w:val="008E4E25"/>
    <w:rsid w:val="008E7208"/>
    <w:rsid w:val="008F2BBB"/>
    <w:rsid w:val="008F3D35"/>
    <w:rsid w:val="008F5BC2"/>
    <w:rsid w:val="008F7DAD"/>
    <w:rsid w:val="0090196D"/>
    <w:rsid w:val="00905980"/>
    <w:rsid w:val="009059FC"/>
    <w:rsid w:val="00906FF2"/>
    <w:rsid w:val="0091394B"/>
    <w:rsid w:val="00913E44"/>
    <w:rsid w:val="00917F5D"/>
    <w:rsid w:val="00930FB1"/>
    <w:rsid w:val="0094074A"/>
    <w:rsid w:val="009410CF"/>
    <w:rsid w:val="00944E5E"/>
    <w:rsid w:val="009462E9"/>
    <w:rsid w:val="00957FC0"/>
    <w:rsid w:val="009627ED"/>
    <w:rsid w:val="00966DC1"/>
    <w:rsid w:val="00970085"/>
    <w:rsid w:val="009771BF"/>
    <w:rsid w:val="00986493"/>
    <w:rsid w:val="00991707"/>
    <w:rsid w:val="009919EE"/>
    <w:rsid w:val="00993736"/>
    <w:rsid w:val="0099402B"/>
    <w:rsid w:val="00996EBF"/>
    <w:rsid w:val="00997595"/>
    <w:rsid w:val="009A08EF"/>
    <w:rsid w:val="009A59AC"/>
    <w:rsid w:val="009B0444"/>
    <w:rsid w:val="009B33EC"/>
    <w:rsid w:val="009B4CF9"/>
    <w:rsid w:val="009B7DC3"/>
    <w:rsid w:val="009C1A6E"/>
    <w:rsid w:val="009C51B2"/>
    <w:rsid w:val="009E1D49"/>
    <w:rsid w:val="009E37F5"/>
    <w:rsid w:val="009E3B00"/>
    <w:rsid w:val="009F482E"/>
    <w:rsid w:val="009F665E"/>
    <w:rsid w:val="00A01D33"/>
    <w:rsid w:val="00A0259D"/>
    <w:rsid w:val="00A15A87"/>
    <w:rsid w:val="00A173E9"/>
    <w:rsid w:val="00A214A0"/>
    <w:rsid w:val="00A2154C"/>
    <w:rsid w:val="00A218F9"/>
    <w:rsid w:val="00A21B61"/>
    <w:rsid w:val="00A231C8"/>
    <w:rsid w:val="00A279F7"/>
    <w:rsid w:val="00A30690"/>
    <w:rsid w:val="00A3532D"/>
    <w:rsid w:val="00A35DA8"/>
    <w:rsid w:val="00A36180"/>
    <w:rsid w:val="00A452BD"/>
    <w:rsid w:val="00A63054"/>
    <w:rsid w:val="00A6393A"/>
    <w:rsid w:val="00A6758C"/>
    <w:rsid w:val="00A704DF"/>
    <w:rsid w:val="00A70F14"/>
    <w:rsid w:val="00A72D25"/>
    <w:rsid w:val="00A74077"/>
    <w:rsid w:val="00A75A57"/>
    <w:rsid w:val="00A8465E"/>
    <w:rsid w:val="00A86547"/>
    <w:rsid w:val="00A91730"/>
    <w:rsid w:val="00A97CBA"/>
    <w:rsid w:val="00AA3BBE"/>
    <w:rsid w:val="00AA67EE"/>
    <w:rsid w:val="00AA7914"/>
    <w:rsid w:val="00AC0AF7"/>
    <w:rsid w:val="00AC1170"/>
    <w:rsid w:val="00AC17BD"/>
    <w:rsid w:val="00AC35AA"/>
    <w:rsid w:val="00AC5BC2"/>
    <w:rsid w:val="00AC75F6"/>
    <w:rsid w:val="00AD0F77"/>
    <w:rsid w:val="00AE793E"/>
    <w:rsid w:val="00B00CAC"/>
    <w:rsid w:val="00B02200"/>
    <w:rsid w:val="00B03414"/>
    <w:rsid w:val="00B03A09"/>
    <w:rsid w:val="00B07271"/>
    <w:rsid w:val="00B10C53"/>
    <w:rsid w:val="00B11949"/>
    <w:rsid w:val="00B1516A"/>
    <w:rsid w:val="00B2386F"/>
    <w:rsid w:val="00B30269"/>
    <w:rsid w:val="00B439E8"/>
    <w:rsid w:val="00B446BA"/>
    <w:rsid w:val="00B5192C"/>
    <w:rsid w:val="00B77B5A"/>
    <w:rsid w:val="00B80229"/>
    <w:rsid w:val="00B83E52"/>
    <w:rsid w:val="00B87F3D"/>
    <w:rsid w:val="00B91657"/>
    <w:rsid w:val="00B92EB8"/>
    <w:rsid w:val="00BB13AD"/>
    <w:rsid w:val="00BB3682"/>
    <w:rsid w:val="00BB3E84"/>
    <w:rsid w:val="00BB713F"/>
    <w:rsid w:val="00BC1FB2"/>
    <w:rsid w:val="00BC35D8"/>
    <w:rsid w:val="00BC3AC6"/>
    <w:rsid w:val="00BC5163"/>
    <w:rsid w:val="00BD3EE8"/>
    <w:rsid w:val="00BD42FD"/>
    <w:rsid w:val="00BD5C58"/>
    <w:rsid w:val="00BE3D28"/>
    <w:rsid w:val="00BF4841"/>
    <w:rsid w:val="00C060B3"/>
    <w:rsid w:val="00C1428A"/>
    <w:rsid w:val="00C1527A"/>
    <w:rsid w:val="00C156E6"/>
    <w:rsid w:val="00C164CD"/>
    <w:rsid w:val="00C20AA6"/>
    <w:rsid w:val="00C31514"/>
    <w:rsid w:val="00C32DB5"/>
    <w:rsid w:val="00C33C4C"/>
    <w:rsid w:val="00C3740C"/>
    <w:rsid w:val="00C412B5"/>
    <w:rsid w:val="00C423F5"/>
    <w:rsid w:val="00C47692"/>
    <w:rsid w:val="00C50493"/>
    <w:rsid w:val="00C504D2"/>
    <w:rsid w:val="00C5124E"/>
    <w:rsid w:val="00C5163D"/>
    <w:rsid w:val="00C520C9"/>
    <w:rsid w:val="00C560AC"/>
    <w:rsid w:val="00C61B7A"/>
    <w:rsid w:val="00C6314D"/>
    <w:rsid w:val="00C65254"/>
    <w:rsid w:val="00C66C7B"/>
    <w:rsid w:val="00C70A20"/>
    <w:rsid w:val="00C72E84"/>
    <w:rsid w:val="00C738C8"/>
    <w:rsid w:val="00C74546"/>
    <w:rsid w:val="00C75AA5"/>
    <w:rsid w:val="00C7624A"/>
    <w:rsid w:val="00C80F6A"/>
    <w:rsid w:val="00C824FC"/>
    <w:rsid w:val="00C908FE"/>
    <w:rsid w:val="00C967E7"/>
    <w:rsid w:val="00CA1572"/>
    <w:rsid w:val="00CA1960"/>
    <w:rsid w:val="00CA2930"/>
    <w:rsid w:val="00CA7DF4"/>
    <w:rsid w:val="00CB25EC"/>
    <w:rsid w:val="00CB3DEB"/>
    <w:rsid w:val="00CC2A35"/>
    <w:rsid w:val="00CC6146"/>
    <w:rsid w:val="00CD2B22"/>
    <w:rsid w:val="00CE183C"/>
    <w:rsid w:val="00CF0D9E"/>
    <w:rsid w:val="00CF3A21"/>
    <w:rsid w:val="00D0204B"/>
    <w:rsid w:val="00D076B1"/>
    <w:rsid w:val="00D14666"/>
    <w:rsid w:val="00D15E45"/>
    <w:rsid w:val="00D2007B"/>
    <w:rsid w:val="00D20737"/>
    <w:rsid w:val="00D24C7B"/>
    <w:rsid w:val="00D25D5F"/>
    <w:rsid w:val="00D31DB9"/>
    <w:rsid w:val="00D32EAB"/>
    <w:rsid w:val="00D32FA2"/>
    <w:rsid w:val="00D349BE"/>
    <w:rsid w:val="00D42AC6"/>
    <w:rsid w:val="00D47113"/>
    <w:rsid w:val="00D52D5C"/>
    <w:rsid w:val="00D53E9A"/>
    <w:rsid w:val="00D55827"/>
    <w:rsid w:val="00D56EAF"/>
    <w:rsid w:val="00D60001"/>
    <w:rsid w:val="00D6287A"/>
    <w:rsid w:val="00D66256"/>
    <w:rsid w:val="00D70E3A"/>
    <w:rsid w:val="00D7300A"/>
    <w:rsid w:val="00D74AF9"/>
    <w:rsid w:val="00D769E2"/>
    <w:rsid w:val="00D77263"/>
    <w:rsid w:val="00D77D81"/>
    <w:rsid w:val="00D80AC7"/>
    <w:rsid w:val="00D857A7"/>
    <w:rsid w:val="00D86596"/>
    <w:rsid w:val="00D94CE3"/>
    <w:rsid w:val="00D958DF"/>
    <w:rsid w:val="00DA3198"/>
    <w:rsid w:val="00DA47F0"/>
    <w:rsid w:val="00DB0F87"/>
    <w:rsid w:val="00DB1579"/>
    <w:rsid w:val="00DB60A0"/>
    <w:rsid w:val="00DC204B"/>
    <w:rsid w:val="00DC5E8A"/>
    <w:rsid w:val="00DE0016"/>
    <w:rsid w:val="00DE24F5"/>
    <w:rsid w:val="00DF1DC1"/>
    <w:rsid w:val="00DF7725"/>
    <w:rsid w:val="00E00610"/>
    <w:rsid w:val="00E0158A"/>
    <w:rsid w:val="00E05CE8"/>
    <w:rsid w:val="00E154F7"/>
    <w:rsid w:val="00E16495"/>
    <w:rsid w:val="00E164ED"/>
    <w:rsid w:val="00E17ABF"/>
    <w:rsid w:val="00E204BE"/>
    <w:rsid w:val="00E20830"/>
    <w:rsid w:val="00E2361A"/>
    <w:rsid w:val="00E24433"/>
    <w:rsid w:val="00E2603E"/>
    <w:rsid w:val="00E4087A"/>
    <w:rsid w:val="00E43B18"/>
    <w:rsid w:val="00E5561E"/>
    <w:rsid w:val="00E56C69"/>
    <w:rsid w:val="00E56F31"/>
    <w:rsid w:val="00E6048C"/>
    <w:rsid w:val="00E63FD5"/>
    <w:rsid w:val="00E64A60"/>
    <w:rsid w:val="00E72CAE"/>
    <w:rsid w:val="00E73B82"/>
    <w:rsid w:val="00E932E1"/>
    <w:rsid w:val="00E94B43"/>
    <w:rsid w:val="00E975AD"/>
    <w:rsid w:val="00EA7D57"/>
    <w:rsid w:val="00EB4F62"/>
    <w:rsid w:val="00ED1675"/>
    <w:rsid w:val="00ED293C"/>
    <w:rsid w:val="00ED3871"/>
    <w:rsid w:val="00ED3A0C"/>
    <w:rsid w:val="00EE7206"/>
    <w:rsid w:val="00EF4CB2"/>
    <w:rsid w:val="00F0291B"/>
    <w:rsid w:val="00F04FB5"/>
    <w:rsid w:val="00F064DC"/>
    <w:rsid w:val="00F1724A"/>
    <w:rsid w:val="00F20B7C"/>
    <w:rsid w:val="00F2426B"/>
    <w:rsid w:val="00F24477"/>
    <w:rsid w:val="00F260BA"/>
    <w:rsid w:val="00F26D2A"/>
    <w:rsid w:val="00F35C48"/>
    <w:rsid w:val="00F544C0"/>
    <w:rsid w:val="00F54FD8"/>
    <w:rsid w:val="00F60E66"/>
    <w:rsid w:val="00F634FC"/>
    <w:rsid w:val="00F66129"/>
    <w:rsid w:val="00F67667"/>
    <w:rsid w:val="00F751CE"/>
    <w:rsid w:val="00F806E1"/>
    <w:rsid w:val="00F9010B"/>
    <w:rsid w:val="00F90DDF"/>
    <w:rsid w:val="00F96B59"/>
    <w:rsid w:val="00FB0E52"/>
    <w:rsid w:val="00FB1A9C"/>
    <w:rsid w:val="00FB398F"/>
    <w:rsid w:val="00FB4319"/>
    <w:rsid w:val="00FB5124"/>
    <w:rsid w:val="00FB56B8"/>
    <w:rsid w:val="00FB5EC5"/>
    <w:rsid w:val="00FB7F90"/>
    <w:rsid w:val="00FD184D"/>
    <w:rsid w:val="00FD42D4"/>
    <w:rsid w:val="00FE5508"/>
    <w:rsid w:val="00FF313B"/>
    <w:rsid w:val="00FF6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4D2AFC"/>
  <w14:defaultImageDpi w14:val="330"/>
  <w15:docId w15:val="{9C7310BD-349A-4817-8C24-5FA5902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44E0"/>
    <w:pPr>
      <w:spacing w:after="120" w:line="264" w:lineRule="auto"/>
    </w:pPr>
    <w:rPr>
      <w:rFonts w:asciiTheme="minorHAnsi" w:hAnsiTheme="minorHAnsi" w:cs="Arial"/>
      <w:color w:val="000000"/>
      <w:szCs w:val="24"/>
      <w:lang w:val="sv-SE" w:eastAsia="sv-SE"/>
    </w:rPr>
  </w:style>
  <w:style w:type="paragraph" w:styleId="Rubrik1">
    <w:name w:val="heading 1"/>
    <w:basedOn w:val="Normal"/>
    <w:next w:val="Normal"/>
    <w:link w:val="Rubrik1Char"/>
    <w:uiPriority w:val="3"/>
    <w:qFormat/>
    <w:rsid w:val="00DC5E8A"/>
    <w:pPr>
      <w:keepNext/>
      <w:spacing w:before="360" w:after="60"/>
      <w:outlineLvl w:val="0"/>
    </w:pPr>
    <w:rPr>
      <w:rFonts w:asciiTheme="majorHAnsi" w:eastAsiaTheme="majorEastAsia" w:hAnsiTheme="majorHAnsi"/>
      <w:b/>
      <w:bCs/>
      <w:sz w:val="28"/>
      <w:szCs w:val="28"/>
    </w:rPr>
  </w:style>
  <w:style w:type="paragraph" w:styleId="Rubrik2">
    <w:name w:val="heading 2"/>
    <w:basedOn w:val="Normal"/>
    <w:next w:val="Normal"/>
    <w:link w:val="Rubrik2Char"/>
    <w:uiPriority w:val="3"/>
    <w:qFormat/>
    <w:rsid w:val="00DC5E8A"/>
    <w:pPr>
      <w:keepNext/>
      <w:spacing w:before="360" w:after="60"/>
      <w:outlineLvl w:val="1"/>
    </w:pPr>
    <w:rPr>
      <w:rFonts w:asciiTheme="majorHAnsi" w:eastAsiaTheme="majorEastAsia" w:hAnsiTheme="majorHAnsi"/>
      <w:b/>
      <w:bCs/>
      <w:sz w:val="24"/>
      <w:szCs w:val="26"/>
    </w:rPr>
  </w:style>
  <w:style w:type="paragraph" w:styleId="Rubrik3">
    <w:name w:val="heading 3"/>
    <w:basedOn w:val="Normal"/>
    <w:next w:val="Normal"/>
    <w:link w:val="Rubrik3Char"/>
    <w:uiPriority w:val="3"/>
    <w:qFormat/>
    <w:rsid w:val="00DC5E8A"/>
    <w:pPr>
      <w:keepNext/>
      <w:spacing w:before="360" w:after="60"/>
      <w:outlineLvl w:val="2"/>
    </w:pPr>
    <w:rPr>
      <w:rFonts w:asciiTheme="majorHAnsi" w:eastAsiaTheme="majorEastAsia" w:hAnsiTheme="majorHAnsi"/>
      <w:b/>
      <w:bCs/>
    </w:rPr>
  </w:style>
  <w:style w:type="paragraph" w:styleId="Rubrik4">
    <w:name w:val="heading 4"/>
    <w:basedOn w:val="Normal"/>
    <w:next w:val="Normal"/>
    <w:link w:val="Rubrik4Char"/>
    <w:uiPriority w:val="3"/>
    <w:qFormat/>
    <w:rsid w:val="007D1F16"/>
    <w:pPr>
      <w:keepNext/>
      <w:keepLines/>
      <w:spacing w:before="200"/>
      <w:outlineLvl w:val="3"/>
    </w:pPr>
    <w:rPr>
      <w:rFonts w:asciiTheme="majorHAnsi" w:eastAsiaTheme="majorEastAsia" w:hAnsiTheme="majorHAnsi" w:cstheme="majorBidi"/>
      <w:b/>
      <w:bCs/>
      <w:i/>
      <w:iCs/>
      <w:color w:val="auto"/>
    </w:rPr>
  </w:style>
  <w:style w:type="paragraph" w:styleId="Rubrik5">
    <w:name w:val="heading 5"/>
    <w:basedOn w:val="Normal"/>
    <w:next w:val="Normal"/>
    <w:link w:val="Rubrik5Char"/>
    <w:uiPriority w:val="99"/>
    <w:semiHidden/>
    <w:rsid w:val="007D1F16"/>
    <w:pPr>
      <w:keepNext/>
      <w:keepLines/>
      <w:numPr>
        <w:ilvl w:val="4"/>
        <w:numId w:val="7"/>
      </w:numPr>
      <w:spacing w:before="200"/>
      <w:outlineLvl w:val="4"/>
    </w:pPr>
    <w:rPr>
      <w:rFonts w:asciiTheme="majorHAnsi" w:eastAsiaTheme="majorEastAsia" w:hAnsiTheme="majorHAnsi" w:cstheme="majorBidi"/>
      <w:color w:val="2C3863" w:themeColor="accent1" w:themeShade="7F"/>
    </w:rPr>
  </w:style>
  <w:style w:type="paragraph" w:styleId="Rubrik6">
    <w:name w:val="heading 6"/>
    <w:basedOn w:val="Normal"/>
    <w:next w:val="Normal"/>
    <w:link w:val="Rubrik6Char"/>
    <w:uiPriority w:val="99"/>
    <w:semiHidden/>
    <w:rsid w:val="007D1F16"/>
    <w:pPr>
      <w:keepNext/>
      <w:keepLines/>
      <w:numPr>
        <w:ilvl w:val="5"/>
        <w:numId w:val="7"/>
      </w:numPr>
      <w:spacing w:before="200"/>
      <w:outlineLvl w:val="5"/>
    </w:pPr>
    <w:rPr>
      <w:rFonts w:asciiTheme="majorHAnsi" w:eastAsiaTheme="majorEastAsia" w:hAnsiTheme="majorHAnsi" w:cstheme="majorBidi"/>
      <w:i/>
      <w:iCs/>
      <w:color w:val="2C3863" w:themeColor="accent1" w:themeShade="7F"/>
    </w:rPr>
  </w:style>
  <w:style w:type="paragraph" w:styleId="Rubrik7">
    <w:name w:val="heading 7"/>
    <w:basedOn w:val="Normal"/>
    <w:next w:val="Normal"/>
    <w:link w:val="Rubrik7Char"/>
    <w:uiPriority w:val="99"/>
    <w:semiHidden/>
    <w:rsid w:val="007D1F16"/>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9"/>
    <w:semiHidden/>
    <w:rsid w:val="007D1F16"/>
    <w:pPr>
      <w:keepNext/>
      <w:keepLines/>
      <w:numPr>
        <w:ilvl w:val="7"/>
        <w:numId w:val="7"/>
      </w:numPr>
      <w:spacing w:before="200"/>
      <w:outlineLvl w:val="7"/>
    </w:pPr>
    <w:rPr>
      <w:rFonts w:asciiTheme="majorHAnsi" w:eastAsiaTheme="majorEastAsia" w:hAnsiTheme="majorHAnsi" w:cstheme="majorBidi"/>
      <w:color w:val="404040" w:themeColor="text1" w:themeTint="BF"/>
      <w:szCs w:val="20"/>
    </w:rPr>
  </w:style>
  <w:style w:type="paragraph" w:styleId="Rubrik9">
    <w:name w:val="heading 9"/>
    <w:basedOn w:val="Normal"/>
    <w:next w:val="Normal"/>
    <w:link w:val="Rubrik9Char"/>
    <w:uiPriority w:val="99"/>
    <w:semiHidden/>
    <w:rsid w:val="007D1F16"/>
    <w:pPr>
      <w:keepNext/>
      <w:keepLines/>
      <w:numPr>
        <w:ilvl w:val="8"/>
        <w:numId w:val="7"/>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3"/>
    <w:rsid w:val="00DC5E8A"/>
    <w:rPr>
      <w:rFonts w:asciiTheme="majorHAnsi" w:eastAsiaTheme="majorEastAsia" w:hAnsiTheme="majorHAnsi" w:cs="Arial"/>
      <w:b/>
      <w:bCs/>
      <w:color w:val="000000"/>
      <w:sz w:val="28"/>
      <w:szCs w:val="28"/>
      <w:lang w:val="sv-SE" w:eastAsia="sv-SE"/>
    </w:rPr>
  </w:style>
  <w:style w:type="character" w:customStyle="1" w:styleId="Rubrik2Char">
    <w:name w:val="Rubrik 2 Char"/>
    <w:basedOn w:val="Standardstycketeckensnitt"/>
    <w:link w:val="Rubrik2"/>
    <w:uiPriority w:val="3"/>
    <w:rsid w:val="00DC5E8A"/>
    <w:rPr>
      <w:rFonts w:asciiTheme="majorHAnsi" w:eastAsiaTheme="majorEastAsia" w:hAnsiTheme="majorHAnsi" w:cs="Arial"/>
      <w:b/>
      <w:bCs/>
      <w:color w:val="000000"/>
      <w:sz w:val="24"/>
      <w:szCs w:val="26"/>
      <w:lang w:val="sv-SE" w:eastAsia="sv-SE"/>
    </w:rPr>
  </w:style>
  <w:style w:type="character" w:customStyle="1" w:styleId="Rubrik3Char">
    <w:name w:val="Rubrik 3 Char"/>
    <w:basedOn w:val="Standardstycketeckensnitt"/>
    <w:link w:val="Rubrik3"/>
    <w:uiPriority w:val="3"/>
    <w:rsid w:val="00DC5E8A"/>
    <w:rPr>
      <w:rFonts w:asciiTheme="majorHAnsi" w:eastAsiaTheme="majorEastAsia" w:hAnsiTheme="majorHAnsi" w:cs="Arial"/>
      <w:b/>
      <w:bCs/>
      <w:color w:val="000000"/>
      <w:szCs w:val="24"/>
      <w:lang w:val="sv-SE" w:eastAsia="sv-SE"/>
    </w:rPr>
  </w:style>
  <w:style w:type="numbering" w:customStyle="1" w:styleId="CompanyList">
    <w:name w:val="Company_List"/>
    <w:basedOn w:val="Ingenlista"/>
    <w:rsid w:val="007D1F16"/>
    <w:pPr>
      <w:numPr>
        <w:numId w:val="4"/>
      </w:numPr>
    </w:pPr>
  </w:style>
  <w:style w:type="numbering" w:customStyle="1" w:styleId="CompanyListBullet">
    <w:name w:val="Company_ListBullet"/>
    <w:basedOn w:val="Ingenlista"/>
    <w:rsid w:val="007D1F16"/>
    <w:pPr>
      <w:numPr>
        <w:numId w:val="3"/>
      </w:numPr>
    </w:pPr>
  </w:style>
  <w:style w:type="paragraph" w:styleId="Punktlista">
    <w:name w:val="List Bullet"/>
    <w:basedOn w:val="Liststycke"/>
    <w:link w:val="PunktlistaChar"/>
    <w:uiPriority w:val="1"/>
    <w:rsid w:val="007D1F16"/>
    <w:pPr>
      <w:numPr>
        <w:numId w:val="5"/>
      </w:numPr>
    </w:pPr>
  </w:style>
  <w:style w:type="paragraph" w:styleId="Sidhuvud">
    <w:name w:val="header"/>
    <w:basedOn w:val="Normal"/>
    <w:link w:val="SidhuvudChar"/>
    <w:semiHidden/>
    <w:rsid w:val="007D1F16"/>
    <w:pPr>
      <w:tabs>
        <w:tab w:val="center" w:pos="4680"/>
        <w:tab w:val="right" w:pos="9360"/>
      </w:tabs>
    </w:pPr>
    <w:rPr>
      <w:sz w:val="18"/>
    </w:rPr>
  </w:style>
  <w:style w:type="character" w:customStyle="1" w:styleId="SidhuvudChar">
    <w:name w:val="Sidhuvud Char"/>
    <w:basedOn w:val="Standardstycketeckensnitt"/>
    <w:link w:val="Sidhuvud"/>
    <w:semiHidden/>
    <w:rsid w:val="008D44E0"/>
    <w:rPr>
      <w:rFonts w:asciiTheme="minorHAnsi" w:hAnsiTheme="minorHAnsi" w:cs="Arial"/>
      <w:color w:val="000000"/>
      <w:sz w:val="18"/>
      <w:szCs w:val="24"/>
      <w:lang w:val="sv-SE" w:eastAsia="sv-SE"/>
    </w:rPr>
  </w:style>
  <w:style w:type="paragraph" w:styleId="Sidfot">
    <w:name w:val="footer"/>
    <w:basedOn w:val="Normal"/>
    <w:link w:val="SidfotChar"/>
    <w:semiHidden/>
    <w:rsid w:val="007D1F16"/>
    <w:pPr>
      <w:tabs>
        <w:tab w:val="center" w:pos="4680"/>
        <w:tab w:val="right" w:pos="9360"/>
      </w:tabs>
      <w:spacing w:after="0" w:line="160" w:lineRule="atLeast"/>
      <w:jc w:val="center"/>
    </w:pPr>
    <w:rPr>
      <w:color w:val="auto"/>
      <w:sz w:val="13"/>
    </w:rPr>
  </w:style>
  <w:style w:type="character" w:customStyle="1" w:styleId="SidfotChar">
    <w:name w:val="Sidfot Char"/>
    <w:basedOn w:val="Standardstycketeckensnitt"/>
    <w:link w:val="Sidfot"/>
    <w:semiHidden/>
    <w:rsid w:val="008D44E0"/>
    <w:rPr>
      <w:rFonts w:asciiTheme="minorHAnsi" w:hAnsiTheme="minorHAnsi" w:cs="Arial"/>
      <w:sz w:val="13"/>
      <w:szCs w:val="24"/>
      <w:lang w:val="sv-SE" w:eastAsia="sv-SE"/>
    </w:rPr>
  </w:style>
  <w:style w:type="paragraph" w:styleId="Innehll1">
    <w:name w:val="toc 1"/>
    <w:basedOn w:val="Normal"/>
    <w:next w:val="Normal"/>
    <w:uiPriority w:val="39"/>
    <w:rsid w:val="009F482E"/>
    <w:pPr>
      <w:spacing w:before="260"/>
    </w:pPr>
  </w:style>
  <w:style w:type="paragraph" w:styleId="Innehll2">
    <w:name w:val="toc 2"/>
    <w:basedOn w:val="Normal"/>
    <w:next w:val="Normal"/>
    <w:uiPriority w:val="39"/>
    <w:rsid w:val="009F482E"/>
    <w:pPr>
      <w:ind w:left="200"/>
    </w:pPr>
  </w:style>
  <w:style w:type="paragraph" w:styleId="Innehll3">
    <w:name w:val="toc 3"/>
    <w:basedOn w:val="Normal"/>
    <w:next w:val="Normal"/>
    <w:uiPriority w:val="39"/>
    <w:rsid w:val="007D1F16"/>
    <w:pPr>
      <w:ind w:left="400"/>
    </w:pPr>
  </w:style>
  <w:style w:type="paragraph" w:styleId="Innehll4">
    <w:name w:val="toc 4"/>
    <w:basedOn w:val="Normal"/>
    <w:next w:val="Normal"/>
    <w:uiPriority w:val="39"/>
    <w:rsid w:val="009F482E"/>
    <w:pPr>
      <w:ind w:left="600"/>
    </w:pPr>
  </w:style>
  <w:style w:type="paragraph" w:styleId="Lista">
    <w:name w:val="List"/>
    <w:basedOn w:val="Normal"/>
    <w:link w:val="ListaChar"/>
    <w:semiHidden/>
    <w:rsid w:val="007D1F16"/>
    <w:pPr>
      <w:ind w:left="283" w:hanging="283"/>
      <w:contextualSpacing/>
    </w:pPr>
  </w:style>
  <w:style w:type="paragraph" w:styleId="Listafortstt">
    <w:name w:val="List Continue"/>
    <w:basedOn w:val="Normal"/>
    <w:semiHidden/>
    <w:rsid w:val="007D1F16"/>
    <w:pPr>
      <w:ind w:left="283"/>
      <w:contextualSpacing/>
    </w:pPr>
  </w:style>
  <w:style w:type="paragraph" w:styleId="Liststycke">
    <w:name w:val="List Paragraph"/>
    <w:basedOn w:val="Normal"/>
    <w:link w:val="ListstyckeChar"/>
    <w:uiPriority w:val="34"/>
    <w:rsid w:val="007D1F16"/>
    <w:pPr>
      <w:ind w:left="720"/>
      <w:contextualSpacing/>
    </w:pPr>
  </w:style>
  <w:style w:type="numbering" w:customStyle="1" w:styleId="Nummerlista">
    <w:name w:val="Nummer lista"/>
    <w:basedOn w:val="Ingenlista"/>
    <w:semiHidden/>
    <w:rsid w:val="007D1F16"/>
    <w:pPr>
      <w:numPr>
        <w:numId w:val="1"/>
      </w:numPr>
    </w:pPr>
  </w:style>
  <w:style w:type="numbering" w:customStyle="1" w:styleId="Punkterlista">
    <w:name w:val="Punkter lista"/>
    <w:basedOn w:val="Ingenlista"/>
    <w:semiHidden/>
    <w:rsid w:val="007D1F16"/>
    <w:pPr>
      <w:numPr>
        <w:numId w:val="2"/>
      </w:numPr>
    </w:pPr>
  </w:style>
  <w:style w:type="table" w:styleId="Tabellrutnt">
    <w:name w:val="Table Grid"/>
    <w:basedOn w:val="Normaltabell"/>
    <w:rsid w:val="007D1F16"/>
    <w:rPr>
      <w:lang w:val="sv-S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gtext">
    <w:name w:val="Balloon Text"/>
    <w:basedOn w:val="Normal"/>
    <w:link w:val="BallongtextChar"/>
    <w:semiHidden/>
    <w:rsid w:val="007D1F1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semiHidden/>
    <w:rsid w:val="008D44E0"/>
    <w:rPr>
      <w:rFonts w:ascii="Tahoma" w:hAnsi="Tahoma" w:cs="Tahoma"/>
      <w:color w:val="000000"/>
      <w:sz w:val="16"/>
      <w:szCs w:val="16"/>
      <w:lang w:val="sv-SE" w:eastAsia="sv-SE"/>
    </w:rPr>
  </w:style>
  <w:style w:type="paragraph" w:customStyle="1" w:styleId="Normalutanavstnd">
    <w:name w:val="Normal utan avstånd"/>
    <w:basedOn w:val="Normal"/>
    <w:rsid w:val="007D1F16"/>
    <w:pPr>
      <w:spacing w:after="0"/>
    </w:pPr>
  </w:style>
  <w:style w:type="paragraph" w:customStyle="1" w:styleId="Etikett">
    <w:name w:val="Etikett"/>
    <w:basedOn w:val="Normal"/>
    <w:semiHidden/>
    <w:rsid w:val="007D1F16"/>
    <w:pPr>
      <w:jc w:val="right"/>
    </w:pPr>
    <w:rPr>
      <w:sz w:val="18"/>
    </w:rPr>
  </w:style>
  <w:style w:type="paragraph" w:customStyle="1" w:styleId="Huvudrubrik">
    <w:name w:val="Huvudrubrik"/>
    <w:basedOn w:val="Normal"/>
    <w:next w:val="Normal"/>
    <w:link w:val="HuvudrubrikChar"/>
    <w:uiPriority w:val="2"/>
    <w:rsid w:val="00DC5E8A"/>
    <w:pPr>
      <w:spacing w:before="360" w:line="240" w:lineRule="auto"/>
    </w:pPr>
    <w:rPr>
      <w:rFonts w:asciiTheme="majorHAnsi" w:hAnsiTheme="majorHAnsi"/>
      <w:b/>
      <w:sz w:val="28"/>
    </w:rPr>
  </w:style>
  <w:style w:type="character" w:customStyle="1" w:styleId="HuvudrubrikChar">
    <w:name w:val="Huvudrubrik Char"/>
    <w:basedOn w:val="Standardstycketeckensnitt"/>
    <w:link w:val="Huvudrubrik"/>
    <w:uiPriority w:val="2"/>
    <w:rsid w:val="00DC5E8A"/>
    <w:rPr>
      <w:rFonts w:asciiTheme="majorHAnsi" w:hAnsiTheme="majorHAnsi" w:cs="Arial"/>
      <w:b/>
      <w:color w:val="000000"/>
      <w:sz w:val="28"/>
      <w:szCs w:val="24"/>
      <w:lang w:val="sv-SE" w:eastAsia="sv-SE"/>
    </w:rPr>
  </w:style>
  <w:style w:type="character" w:customStyle="1" w:styleId="Rubrik5Char">
    <w:name w:val="Rubrik 5 Char"/>
    <w:basedOn w:val="Standardstycketeckensnitt"/>
    <w:link w:val="Rubrik5"/>
    <w:uiPriority w:val="99"/>
    <w:semiHidden/>
    <w:rsid w:val="00081238"/>
    <w:rPr>
      <w:rFonts w:asciiTheme="majorHAnsi" w:eastAsiaTheme="majorEastAsia" w:hAnsiTheme="majorHAnsi" w:cstheme="majorBidi"/>
      <w:color w:val="2C3863" w:themeColor="accent1" w:themeShade="7F"/>
      <w:szCs w:val="24"/>
      <w:lang w:val="sv-SE" w:eastAsia="sv-SE"/>
    </w:rPr>
  </w:style>
  <w:style w:type="character" w:customStyle="1" w:styleId="Rubrik6Char">
    <w:name w:val="Rubrik 6 Char"/>
    <w:basedOn w:val="Standardstycketeckensnitt"/>
    <w:link w:val="Rubrik6"/>
    <w:uiPriority w:val="99"/>
    <w:semiHidden/>
    <w:rsid w:val="00081238"/>
    <w:rPr>
      <w:rFonts w:asciiTheme="majorHAnsi" w:eastAsiaTheme="majorEastAsia" w:hAnsiTheme="majorHAnsi" w:cstheme="majorBidi"/>
      <w:i/>
      <w:iCs/>
      <w:color w:val="2C3863" w:themeColor="accent1" w:themeShade="7F"/>
      <w:szCs w:val="24"/>
      <w:lang w:val="sv-SE" w:eastAsia="sv-SE"/>
    </w:rPr>
  </w:style>
  <w:style w:type="character" w:customStyle="1" w:styleId="Rubrik7Char">
    <w:name w:val="Rubrik 7 Char"/>
    <w:basedOn w:val="Standardstycketeckensnitt"/>
    <w:link w:val="Rubrik7"/>
    <w:uiPriority w:val="99"/>
    <w:semiHidden/>
    <w:rsid w:val="00081238"/>
    <w:rPr>
      <w:rFonts w:asciiTheme="majorHAnsi" w:eastAsiaTheme="majorEastAsia" w:hAnsiTheme="majorHAnsi" w:cstheme="majorBidi"/>
      <w:i/>
      <w:iCs/>
      <w:color w:val="404040" w:themeColor="text1" w:themeTint="BF"/>
      <w:szCs w:val="24"/>
      <w:lang w:val="sv-SE" w:eastAsia="sv-SE"/>
    </w:rPr>
  </w:style>
  <w:style w:type="character" w:customStyle="1" w:styleId="Rubrik8Char">
    <w:name w:val="Rubrik 8 Char"/>
    <w:basedOn w:val="Standardstycketeckensnitt"/>
    <w:link w:val="Rubrik8"/>
    <w:uiPriority w:val="99"/>
    <w:semiHidden/>
    <w:rsid w:val="00081238"/>
    <w:rPr>
      <w:rFonts w:asciiTheme="majorHAnsi" w:eastAsiaTheme="majorEastAsia" w:hAnsiTheme="majorHAnsi" w:cstheme="majorBidi"/>
      <w:color w:val="404040" w:themeColor="text1" w:themeTint="BF"/>
      <w:lang w:val="sv-SE" w:eastAsia="sv-SE"/>
    </w:rPr>
  </w:style>
  <w:style w:type="character" w:customStyle="1" w:styleId="Rubrik9Char">
    <w:name w:val="Rubrik 9 Char"/>
    <w:basedOn w:val="Standardstycketeckensnitt"/>
    <w:link w:val="Rubrik9"/>
    <w:uiPriority w:val="99"/>
    <w:semiHidden/>
    <w:rsid w:val="00081238"/>
    <w:rPr>
      <w:rFonts w:asciiTheme="majorHAnsi" w:eastAsiaTheme="majorEastAsia" w:hAnsiTheme="majorHAnsi" w:cstheme="majorBidi"/>
      <w:i/>
      <w:iCs/>
      <w:color w:val="404040" w:themeColor="text1" w:themeTint="BF"/>
      <w:lang w:val="sv-SE" w:eastAsia="sv-SE"/>
    </w:rPr>
  </w:style>
  <w:style w:type="character" w:customStyle="1" w:styleId="Rubrik4Char">
    <w:name w:val="Rubrik 4 Char"/>
    <w:basedOn w:val="Standardstycketeckensnitt"/>
    <w:link w:val="Rubrik4"/>
    <w:uiPriority w:val="3"/>
    <w:rsid w:val="007D1F16"/>
    <w:rPr>
      <w:rFonts w:asciiTheme="majorHAnsi" w:eastAsiaTheme="majorEastAsia" w:hAnsiTheme="majorHAnsi" w:cstheme="majorBidi"/>
      <w:b/>
      <w:bCs/>
      <w:i/>
      <w:iCs/>
      <w:szCs w:val="24"/>
      <w:lang w:val="sv-SE" w:eastAsia="sv-SE"/>
    </w:rPr>
  </w:style>
  <w:style w:type="paragraph" w:customStyle="1" w:styleId="Sidnumrering">
    <w:name w:val="Sidnumrering"/>
    <w:basedOn w:val="Normal"/>
    <w:semiHidden/>
    <w:rsid w:val="007D1F16"/>
    <w:pPr>
      <w:framePr w:hSpace="142" w:wrap="around" w:vAnchor="page" w:hAnchor="page" w:x="1135" w:y="15253"/>
      <w:tabs>
        <w:tab w:val="center" w:pos="4680"/>
        <w:tab w:val="right" w:pos="9360"/>
      </w:tabs>
      <w:spacing w:after="0" w:line="160" w:lineRule="atLeast"/>
      <w:suppressOverlap/>
      <w:jc w:val="right"/>
    </w:pPr>
    <w:rPr>
      <w:color w:val="auto"/>
      <w:sz w:val="16"/>
    </w:rPr>
  </w:style>
  <w:style w:type="paragraph" w:customStyle="1" w:styleId="Diagramtabellrubrik">
    <w:name w:val="Diagram/tabellrubrik"/>
    <w:basedOn w:val="Normal"/>
    <w:next w:val="Normal"/>
    <w:link w:val="DiagramtabellrubrikChar"/>
    <w:uiPriority w:val="5"/>
    <w:qFormat/>
    <w:rsid w:val="007D1F16"/>
    <w:pPr>
      <w:spacing w:before="120" w:line="240" w:lineRule="auto"/>
    </w:pPr>
  </w:style>
  <w:style w:type="character" w:customStyle="1" w:styleId="DiagramtabellrubrikChar">
    <w:name w:val="Diagram/tabellrubrik Char"/>
    <w:basedOn w:val="Standardstycketeckensnitt"/>
    <w:link w:val="Diagramtabellrubrik"/>
    <w:uiPriority w:val="5"/>
    <w:rsid w:val="007D1F16"/>
    <w:rPr>
      <w:rFonts w:ascii="Verdana" w:hAnsi="Verdana" w:cs="Arial"/>
      <w:color w:val="000000"/>
      <w:szCs w:val="24"/>
      <w:lang w:val="sv-SE" w:eastAsia="sv-SE"/>
    </w:rPr>
  </w:style>
  <w:style w:type="paragraph" w:customStyle="1" w:styleId="Dokumentnamn">
    <w:name w:val="Dokumentnamn"/>
    <w:basedOn w:val="Normal"/>
    <w:semiHidden/>
    <w:rsid w:val="007D1F16"/>
    <w:pPr>
      <w:framePr w:hSpace="181" w:wrap="around" w:vAnchor="page" w:hAnchor="text" w:xAlign="right" w:y="511"/>
      <w:suppressOverlap/>
    </w:pPr>
    <w:rPr>
      <w:b/>
    </w:rPr>
  </w:style>
  <w:style w:type="character" w:styleId="Fotnotsreferens">
    <w:name w:val="footnote reference"/>
    <w:basedOn w:val="Standardstycketeckensnitt"/>
    <w:semiHidden/>
    <w:rsid w:val="007D1F16"/>
    <w:rPr>
      <w:rFonts w:asciiTheme="minorHAnsi" w:hAnsiTheme="minorHAnsi"/>
      <w:sz w:val="20"/>
      <w:vertAlign w:val="superscript"/>
    </w:rPr>
  </w:style>
  <w:style w:type="paragraph" w:styleId="Fotnotstext">
    <w:name w:val="footnote text"/>
    <w:basedOn w:val="Normal"/>
    <w:link w:val="FotnotstextChar"/>
    <w:semiHidden/>
    <w:rsid w:val="007D1F16"/>
    <w:pPr>
      <w:spacing w:after="0" w:line="240" w:lineRule="auto"/>
    </w:pPr>
    <w:rPr>
      <w:sz w:val="16"/>
      <w:szCs w:val="20"/>
    </w:rPr>
  </w:style>
  <w:style w:type="character" w:customStyle="1" w:styleId="FotnotstextChar">
    <w:name w:val="Fotnotstext Char"/>
    <w:basedOn w:val="Standardstycketeckensnitt"/>
    <w:link w:val="Fotnotstext"/>
    <w:semiHidden/>
    <w:rsid w:val="008D44E0"/>
    <w:rPr>
      <w:rFonts w:asciiTheme="minorHAnsi" w:hAnsiTheme="minorHAnsi" w:cs="Arial"/>
      <w:color w:val="000000"/>
      <w:sz w:val="16"/>
      <w:lang w:val="sv-SE" w:eastAsia="sv-SE"/>
    </w:rPr>
  </w:style>
  <w:style w:type="character" w:styleId="Hyperlnk">
    <w:name w:val="Hyperlink"/>
    <w:basedOn w:val="Standardstycketeckensnitt"/>
    <w:uiPriority w:val="99"/>
    <w:unhideWhenUsed/>
    <w:rsid w:val="007D1F16"/>
    <w:rPr>
      <w:color w:val="0563C1" w:themeColor="hyperlink"/>
      <w:u w:val="single"/>
    </w:rPr>
  </w:style>
  <w:style w:type="paragraph" w:styleId="Innehllsfrteckningsrubrik">
    <w:name w:val="TOC Heading"/>
    <w:basedOn w:val="Rubrik1"/>
    <w:next w:val="Normal"/>
    <w:link w:val="InnehllsfrteckningsrubrikChar"/>
    <w:uiPriority w:val="39"/>
    <w:semiHidden/>
    <w:unhideWhenUsed/>
    <w:qFormat/>
    <w:rsid w:val="007D1F16"/>
    <w:pPr>
      <w:keepLines/>
      <w:spacing w:before="480" w:after="0" w:line="276" w:lineRule="auto"/>
      <w:outlineLvl w:val="9"/>
    </w:pPr>
    <w:rPr>
      <w:rFonts w:cstheme="majorBidi"/>
      <w:color w:val="425595" w:themeColor="accent1" w:themeShade="BF"/>
    </w:rPr>
  </w:style>
  <w:style w:type="character" w:customStyle="1" w:styleId="InnehllsfrteckningsrubrikChar">
    <w:name w:val="Innehållsförteckningsrubrik Char"/>
    <w:basedOn w:val="Rubrik1Char"/>
    <w:link w:val="Innehllsfrteckningsrubrik"/>
    <w:uiPriority w:val="39"/>
    <w:semiHidden/>
    <w:rsid w:val="007D1F16"/>
    <w:rPr>
      <w:rFonts w:asciiTheme="majorHAnsi" w:eastAsiaTheme="majorEastAsia" w:hAnsiTheme="majorHAnsi" w:cstheme="majorBidi"/>
      <w:b/>
      <w:bCs/>
      <w:color w:val="425595" w:themeColor="accent1" w:themeShade="BF"/>
      <w:sz w:val="28"/>
      <w:szCs w:val="28"/>
      <w:lang w:val="sv-SE" w:eastAsia="sv-SE"/>
    </w:rPr>
  </w:style>
  <w:style w:type="paragraph" w:customStyle="1" w:styleId="Kllaanmrkning">
    <w:name w:val="Källa/anmärkning"/>
    <w:basedOn w:val="Diagramtabellrubrik"/>
    <w:next w:val="Normal"/>
    <w:link w:val="KllaanmrkningChar"/>
    <w:uiPriority w:val="5"/>
    <w:qFormat/>
    <w:rsid w:val="007D1F16"/>
    <w:rPr>
      <w:sz w:val="16"/>
      <w:szCs w:val="16"/>
    </w:rPr>
  </w:style>
  <w:style w:type="character" w:customStyle="1" w:styleId="KllaanmrkningChar">
    <w:name w:val="Källa/anmärkning Char"/>
    <w:basedOn w:val="DiagramtabellrubrikChar"/>
    <w:link w:val="Kllaanmrkning"/>
    <w:uiPriority w:val="5"/>
    <w:rsid w:val="007D1F16"/>
    <w:rPr>
      <w:rFonts w:ascii="Verdana" w:hAnsi="Verdana" w:cs="Arial"/>
      <w:color w:val="000000"/>
      <w:sz w:val="16"/>
      <w:szCs w:val="16"/>
      <w:lang w:val="sv-SE" w:eastAsia="sv-SE"/>
    </w:rPr>
  </w:style>
  <w:style w:type="character" w:customStyle="1" w:styleId="ListaChar">
    <w:name w:val="Lista Char"/>
    <w:basedOn w:val="Standardstycketeckensnitt"/>
    <w:link w:val="Lista"/>
    <w:semiHidden/>
    <w:rsid w:val="008D44E0"/>
    <w:rPr>
      <w:rFonts w:asciiTheme="minorHAnsi" w:hAnsiTheme="minorHAnsi" w:cs="Arial"/>
      <w:color w:val="000000"/>
      <w:szCs w:val="24"/>
      <w:lang w:val="sv-SE" w:eastAsia="sv-SE"/>
    </w:rPr>
  </w:style>
  <w:style w:type="character" w:customStyle="1" w:styleId="ListstyckeChar">
    <w:name w:val="Liststycke Char"/>
    <w:basedOn w:val="Standardstycketeckensnitt"/>
    <w:link w:val="Liststycke"/>
    <w:uiPriority w:val="34"/>
    <w:rsid w:val="007D1F16"/>
    <w:rPr>
      <w:rFonts w:ascii="Verdana" w:hAnsi="Verdana" w:cs="Arial"/>
      <w:color w:val="000000"/>
      <w:szCs w:val="24"/>
      <w:lang w:val="sv-SE" w:eastAsia="sv-SE"/>
    </w:rPr>
  </w:style>
  <w:style w:type="table" w:styleId="Mellanmrklista1">
    <w:name w:val="Medium List 1"/>
    <w:basedOn w:val="Normaltabell"/>
    <w:uiPriority w:val="65"/>
    <w:rsid w:val="007D1F1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679B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Numreradlistamall">
    <w:name w:val="Numrerad lista mall"/>
    <w:basedOn w:val="Lista"/>
    <w:link w:val="NumreradlistamallChar"/>
    <w:qFormat/>
    <w:rsid w:val="003A6C85"/>
    <w:pPr>
      <w:numPr>
        <w:numId w:val="8"/>
      </w:numPr>
      <w:ind w:left="454" w:hanging="454"/>
    </w:pPr>
  </w:style>
  <w:style w:type="character" w:customStyle="1" w:styleId="NumreradlistamallChar">
    <w:name w:val="Numrerad lista mall Char"/>
    <w:basedOn w:val="ListaChar"/>
    <w:link w:val="Numreradlistamall"/>
    <w:rsid w:val="003A6C85"/>
    <w:rPr>
      <w:rFonts w:ascii="Verdana" w:hAnsi="Verdana" w:cs="Arial"/>
      <w:color w:val="000000"/>
      <w:szCs w:val="24"/>
      <w:lang w:val="sv-SE" w:eastAsia="sv-SE"/>
    </w:rPr>
  </w:style>
  <w:style w:type="character" w:customStyle="1" w:styleId="PunktlistaChar">
    <w:name w:val="Punktlista Char"/>
    <w:basedOn w:val="ListstyckeChar"/>
    <w:link w:val="Punktlista"/>
    <w:uiPriority w:val="1"/>
    <w:rsid w:val="007D1F16"/>
    <w:rPr>
      <w:rFonts w:ascii="Verdana" w:hAnsi="Verdana" w:cs="Arial"/>
      <w:color w:val="000000"/>
      <w:szCs w:val="24"/>
      <w:lang w:val="sv-SE" w:eastAsia="sv-SE"/>
    </w:rPr>
  </w:style>
  <w:style w:type="paragraph" w:customStyle="1" w:styleId="Punktlistamall">
    <w:name w:val="Punktlista mall"/>
    <w:basedOn w:val="Normal"/>
    <w:link w:val="PunktlistamallChar"/>
    <w:qFormat/>
    <w:rsid w:val="003A6C85"/>
    <w:pPr>
      <w:numPr>
        <w:numId w:val="10"/>
      </w:numPr>
      <w:contextualSpacing/>
    </w:pPr>
  </w:style>
  <w:style w:type="character" w:customStyle="1" w:styleId="PunktlistamallChar">
    <w:name w:val="Punktlista mall Char"/>
    <w:basedOn w:val="PunktlistaChar"/>
    <w:link w:val="Punktlistamall"/>
    <w:rsid w:val="003A6C85"/>
    <w:rPr>
      <w:rFonts w:ascii="Verdana" w:hAnsi="Verdana" w:cs="Arial"/>
      <w:color w:val="000000"/>
      <w:szCs w:val="24"/>
      <w:lang w:val="sv-SE" w:eastAsia="sv-SE"/>
    </w:rPr>
  </w:style>
  <w:style w:type="paragraph" w:customStyle="1" w:styleId="Rubrik1Nr">
    <w:name w:val="Rubrik 1 Nr"/>
    <w:basedOn w:val="Normal"/>
    <w:next w:val="Normal"/>
    <w:link w:val="Rubrik1NrChar"/>
    <w:uiPriority w:val="4"/>
    <w:qFormat/>
    <w:rsid w:val="00DC5E8A"/>
    <w:pPr>
      <w:keepNext/>
      <w:numPr>
        <w:numId w:val="18"/>
      </w:numPr>
      <w:spacing w:before="360" w:after="60"/>
      <w:outlineLvl w:val="0"/>
    </w:pPr>
    <w:rPr>
      <w:rFonts w:asciiTheme="majorHAnsi" w:hAnsiTheme="majorHAnsi"/>
      <w:b/>
      <w:sz w:val="28"/>
    </w:rPr>
  </w:style>
  <w:style w:type="character" w:customStyle="1" w:styleId="Rubrik1NrChar">
    <w:name w:val="Rubrik 1 Nr Char"/>
    <w:basedOn w:val="Standardstycketeckensnitt"/>
    <w:link w:val="Rubrik1Nr"/>
    <w:uiPriority w:val="4"/>
    <w:rsid w:val="00DC5E8A"/>
    <w:rPr>
      <w:rFonts w:asciiTheme="majorHAnsi" w:hAnsiTheme="majorHAnsi" w:cs="Arial"/>
      <w:b/>
      <w:color w:val="000000"/>
      <w:sz w:val="28"/>
      <w:szCs w:val="24"/>
      <w:lang w:val="sv-SE" w:eastAsia="sv-SE"/>
    </w:rPr>
  </w:style>
  <w:style w:type="paragraph" w:customStyle="1" w:styleId="Rubrik2Nr">
    <w:name w:val="Rubrik 2 Nr"/>
    <w:basedOn w:val="Normal"/>
    <w:next w:val="Normal"/>
    <w:link w:val="Rubrik2NrChar"/>
    <w:uiPriority w:val="4"/>
    <w:qFormat/>
    <w:rsid w:val="00DC5E8A"/>
    <w:pPr>
      <w:keepNext/>
      <w:numPr>
        <w:ilvl w:val="1"/>
        <w:numId w:val="18"/>
      </w:numPr>
      <w:spacing w:before="360" w:after="60"/>
      <w:outlineLvl w:val="1"/>
    </w:pPr>
    <w:rPr>
      <w:rFonts w:asciiTheme="majorHAnsi" w:hAnsiTheme="majorHAnsi"/>
      <w:b/>
      <w:sz w:val="24"/>
    </w:rPr>
  </w:style>
  <w:style w:type="character" w:customStyle="1" w:styleId="Rubrik2NrChar">
    <w:name w:val="Rubrik 2 Nr Char"/>
    <w:basedOn w:val="Standardstycketeckensnitt"/>
    <w:link w:val="Rubrik2Nr"/>
    <w:uiPriority w:val="4"/>
    <w:rsid w:val="00DC5E8A"/>
    <w:rPr>
      <w:rFonts w:asciiTheme="majorHAnsi" w:hAnsiTheme="majorHAnsi" w:cs="Arial"/>
      <w:b/>
      <w:color w:val="000000"/>
      <w:sz w:val="24"/>
      <w:szCs w:val="24"/>
      <w:lang w:val="sv-SE" w:eastAsia="sv-SE"/>
    </w:rPr>
  </w:style>
  <w:style w:type="paragraph" w:customStyle="1" w:styleId="Rubrik3Nr">
    <w:name w:val="Rubrik 3 Nr"/>
    <w:basedOn w:val="Normal"/>
    <w:next w:val="Normal"/>
    <w:link w:val="Rubrik3NrChar"/>
    <w:uiPriority w:val="4"/>
    <w:qFormat/>
    <w:rsid w:val="00DC5E8A"/>
    <w:pPr>
      <w:keepNext/>
      <w:numPr>
        <w:ilvl w:val="2"/>
        <w:numId w:val="18"/>
      </w:numPr>
      <w:spacing w:before="360" w:after="60"/>
      <w:outlineLvl w:val="2"/>
    </w:pPr>
    <w:rPr>
      <w:rFonts w:asciiTheme="majorHAnsi" w:hAnsiTheme="majorHAnsi"/>
      <w:b/>
    </w:rPr>
  </w:style>
  <w:style w:type="character" w:customStyle="1" w:styleId="Rubrik3NrChar">
    <w:name w:val="Rubrik 3 Nr Char"/>
    <w:basedOn w:val="Standardstycketeckensnitt"/>
    <w:link w:val="Rubrik3Nr"/>
    <w:uiPriority w:val="4"/>
    <w:rsid w:val="00DC5E8A"/>
    <w:rPr>
      <w:rFonts w:asciiTheme="majorHAnsi" w:hAnsiTheme="majorHAnsi" w:cs="Arial"/>
      <w:b/>
      <w:color w:val="000000"/>
      <w:szCs w:val="24"/>
      <w:lang w:val="sv-SE" w:eastAsia="sv-SE"/>
    </w:rPr>
  </w:style>
  <w:style w:type="paragraph" w:customStyle="1" w:styleId="Rubrik4Nr">
    <w:name w:val="Rubrik 4 Nr"/>
    <w:basedOn w:val="Normal"/>
    <w:next w:val="Normal"/>
    <w:link w:val="Rubrik4NrChar"/>
    <w:uiPriority w:val="4"/>
    <w:qFormat/>
    <w:rsid w:val="004B4A74"/>
    <w:pPr>
      <w:numPr>
        <w:ilvl w:val="3"/>
        <w:numId w:val="18"/>
      </w:numPr>
      <w:spacing w:before="200"/>
      <w:outlineLvl w:val="3"/>
    </w:pPr>
    <w:rPr>
      <w:rFonts w:asciiTheme="majorHAnsi" w:hAnsiTheme="majorHAnsi"/>
      <w:b/>
      <w:i/>
    </w:rPr>
  </w:style>
  <w:style w:type="character" w:customStyle="1" w:styleId="Rubrik4NrChar">
    <w:name w:val="Rubrik 4 Nr Char"/>
    <w:basedOn w:val="Standardstycketeckensnitt"/>
    <w:link w:val="Rubrik4Nr"/>
    <w:uiPriority w:val="4"/>
    <w:rsid w:val="004B4A74"/>
    <w:rPr>
      <w:rFonts w:asciiTheme="majorHAnsi" w:hAnsiTheme="majorHAnsi" w:cs="Arial"/>
      <w:b/>
      <w:i/>
      <w:color w:val="000000"/>
      <w:szCs w:val="24"/>
      <w:lang w:val="sv-SE" w:eastAsia="sv-SE"/>
    </w:rPr>
  </w:style>
  <w:style w:type="paragraph" w:customStyle="1" w:styleId="Rubrikinnehll">
    <w:name w:val="Rubrik innehåll"/>
    <w:basedOn w:val="Innehllsfrteckningsrubrik"/>
    <w:link w:val="RubrikinnehllChar"/>
    <w:semiHidden/>
    <w:rsid w:val="00560B1D"/>
    <w:pPr>
      <w:spacing w:before="360" w:after="60" w:line="264" w:lineRule="auto"/>
    </w:pPr>
    <w:rPr>
      <w:color w:val="auto"/>
    </w:rPr>
  </w:style>
  <w:style w:type="character" w:customStyle="1" w:styleId="RubrikinnehllChar">
    <w:name w:val="Rubrik innehåll Char"/>
    <w:basedOn w:val="InnehllsfrteckningsrubrikChar"/>
    <w:link w:val="Rubrikinnehll"/>
    <w:semiHidden/>
    <w:rsid w:val="008D44E0"/>
    <w:rPr>
      <w:rFonts w:asciiTheme="majorHAnsi" w:eastAsiaTheme="majorEastAsia" w:hAnsiTheme="majorHAnsi" w:cstheme="majorBidi"/>
      <w:b/>
      <w:bCs/>
      <w:color w:val="425595" w:themeColor="accent1" w:themeShade="BF"/>
      <w:sz w:val="28"/>
      <w:szCs w:val="28"/>
      <w:lang w:val="sv-SE" w:eastAsia="sv-SE"/>
    </w:rPr>
  </w:style>
  <w:style w:type="table" w:styleId="Tabellista3">
    <w:name w:val="Table List 3"/>
    <w:basedOn w:val="Normaltabell"/>
    <w:rsid w:val="007D1F16"/>
    <w:pPr>
      <w:spacing w:after="120"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Tabellrubriker">
    <w:name w:val="Tabellrubriker"/>
    <w:basedOn w:val="Diagramtabellrubrik"/>
    <w:link w:val="TabellrubrikerChar"/>
    <w:uiPriority w:val="6"/>
    <w:qFormat/>
    <w:rsid w:val="007D1F16"/>
    <w:pPr>
      <w:spacing w:before="0" w:after="0"/>
      <w:ind w:left="113"/>
    </w:pPr>
    <w:rPr>
      <w:b/>
    </w:rPr>
  </w:style>
  <w:style w:type="character" w:customStyle="1" w:styleId="TabellrubrikerChar">
    <w:name w:val="Tabellrubriker Char"/>
    <w:basedOn w:val="DiagramtabellrubrikChar"/>
    <w:link w:val="Tabellrubriker"/>
    <w:uiPriority w:val="6"/>
    <w:rsid w:val="007D1F16"/>
    <w:rPr>
      <w:rFonts w:ascii="Verdana" w:hAnsi="Verdana" w:cs="Arial"/>
      <w:b/>
      <w:color w:val="000000"/>
      <w:szCs w:val="24"/>
      <w:lang w:val="sv-SE" w:eastAsia="sv-SE"/>
    </w:rPr>
  </w:style>
  <w:style w:type="paragraph" w:customStyle="1" w:styleId="Tabelltext">
    <w:name w:val="Tabelltext"/>
    <w:basedOn w:val="Normal"/>
    <w:rsid w:val="00B5192C"/>
    <w:pPr>
      <w:spacing w:before="120" w:after="0"/>
      <w:ind w:left="113"/>
    </w:pPr>
    <w:rPr>
      <w:bCs/>
    </w:rPr>
  </w:style>
  <w:style w:type="paragraph" w:styleId="Normalwebb">
    <w:name w:val="Normal (Web)"/>
    <w:basedOn w:val="Normal"/>
    <w:uiPriority w:val="99"/>
    <w:semiHidden/>
    <w:unhideWhenUsed/>
    <w:rsid w:val="00B11949"/>
    <w:pPr>
      <w:spacing w:before="100" w:beforeAutospacing="1" w:after="100" w:afterAutospacing="1" w:line="240" w:lineRule="auto"/>
    </w:pPr>
    <w:rPr>
      <w:rFonts w:ascii="Times New Roman" w:hAnsi="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k.cernjul\AppData\Local\Microsoft\Windows\INetCache\Content.MSO\B528CAE6.dotm" TargetMode="External"/></Relationships>
</file>

<file path=word/theme/theme1.xml><?xml version="1.0" encoding="utf-8"?>
<a:theme xmlns:a="http://schemas.openxmlformats.org/drawingml/2006/main" name="Office-tema">
  <a:themeElements>
    <a:clrScheme name="Svensk Försäkring">
      <a:dk1>
        <a:sysClr val="windowText" lastClr="000000"/>
      </a:dk1>
      <a:lt1>
        <a:sysClr val="window" lastClr="FFFFFF"/>
      </a:lt1>
      <a:dk2>
        <a:srgbClr val="6679BB"/>
      </a:dk2>
      <a:lt2>
        <a:srgbClr val="F2F2F2"/>
      </a:lt2>
      <a:accent1>
        <a:srgbClr val="6679BB"/>
      </a:accent1>
      <a:accent2>
        <a:srgbClr val="FFD478"/>
      </a:accent2>
      <a:accent3>
        <a:srgbClr val="E93E84"/>
      </a:accent3>
      <a:accent4>
        <a:srgbClr val="C6DE89"/>
      </a:accent4>
      <a:accent5>
        <a:srgbClr val="BBC6E5"/>
      </a:accent5>
      <a:accent6>
        <a:srgbClr val="F494BC"/>
      </a:accent6>
      <a:hlink>
        <a:srgbClr val="0563C1"/>
      </a:hlink>
      <a:folHlink>
        <a:srgbClr val="800080"/>
      </a:folHlink>
    </a:clrScheme>
    <a:fontScheme name="SFIS PP">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C7145-315C-4A9A-A9A0-47AA3B811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B528CAE6</Template>
  <TotalTime>9</TotalTime>
  <Pages>9</Pages>
  <Words>2257</Words>
  <Characters>11968</Characters>
  <Application>Microsoft Office Word</Application>
  <DocSecurity>0</DocSecurity>
  <Lines>99</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Svensk Försäkring</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Cernjul, Erik</dc:creator>
  <cp:lastModifiedBy>Cernjul, Erik</cp:lastModifiedBy>
  <cp:revision>3</cp:revision>
  <dcterms:created xsi:type="dcterms:W3CDTF">2026-10-26T09:50:00Z</dcterms:created>
  <dcterms:modified xsi:type="dcterms:W3CDTF">2026-10-26T09:57:00Z</dcterms:modified>
</cp:coreProperties>
</file>